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AB17">
      <w:pPr>
        <w:pStyle w:val="4"/>
        <w:spacing w:line="360" w:lineRule="auto"/>
        <w:ind w:firstLine="723" w:firstLineChars="200"/>
        <w:jc w:val="center"/>
        <w:rPr>
          <w:rFonts w:ascii="仿宋_GB2312" w:hAnsi="宋体" w:eastAsia="仿宋_GB2312" w:cs="宋体"/>
          <w:b/>
          <w:color w:val="auto"/>
          <w:sz w:val="36"/>
          <w:szCs w:val="36"/>
        </w:rPr>
      </w:pPr>
      <w:r>
        <w:rPr>
          <w:rFonts w:hint="eastAsia" w:ascii="仿宋_GB2312" w:hAnsi="宋体" w:eastAsia="仿宋_GB2312" w:cs="宋体"/>
          <w:b/>
          <w:color w:val="auto"/>
          <w:sz w:val="36"/>
          <w:szCs w:val="36"/>
        </w:rPr>
        <w:t>广州市第十二人民医院（黄埔新院区）</w:t>
      </w:r>
    </w:p>
    <w:p w14:paraId="0AA1B73F">
      <w:pPr>
        <w:pStyle w:val="4"/>
        <w:spacing w:line="360" w:lineRule="auto"/>
        <w:ind w:firstLine="723" w:firstLineChars="200"/>
        <w:jc w:val="center"/>
        <w:rPr>
          <w:rFonts w:ascii="仿宋_GB2312" w:hAnsi="宋体" w:eastAsia="仿宋_GB2312" w:cs="宋体"/>
          <w:color w:val="auto"/>
          <w:sz w:val="24"/>
        </w:rPr>
      </w:pPr>
      <w:r>
        <w:rPr>
          <w:rFonts w:hint="eastAsia" w:ascii="仿宋_GB2312" w:hAnsi="宋体" w:eastAsia="仿宋_GB2312" w:cs="宋体"/>
          <w:b/>
          <w:color w:val="auto"/>
          <w:sz w:val="36"/>
          <w:szCs w:val="36"/>
        </w:rPr>
        <w:t>负一楼门禁及呼梯控制项目采购需求</w:t>
      </w:r>
    </w:p>
    <w:p w14:paraId="43781395">
      <w:pPr>
        <w:pStyle w:val="4"/>
        <w:spacing w:line="360" w:lineRule="auto"/>
        <w:ind w:firstLine="482" w:firstLineChars="200"/>
        <w:rPr>
          <w:rFonts w:ascii="仿宋_GB2312" w:hAnsi="宋体" w:eastAsia="仿宋_GB2312" w:cs="宋体"/>
          <w:b/>
          <w:color w:val="auto"/>
          <w:sz w:val="24"/>
        </w:rPr>
      </w:pPr>
    </w:p>
    <w:p w14:paraId="5ECF04B2">
      <w:pPr>
        <w:pStyle w:val="4"/>
        <w:spacing w:line="360" w:lineRule="auto"/>
        <w:jc w:val="center"/>
        <w:rPr>
          <w:rFonts w:ascii="仿宋_GB2312" w:hAnsi="宋体" w:eastAsia="仿宋_GB2312" w:cs="宋体"/>
          <w:b/>
          <w:color w:val="auto"/>
          <w:sz w:val="30"/>
          <w:szCs w:val="30"/>
        </w:rPr>
      </w:pPr>
      <w:r>
        <w:rPr>
          <w:rFonts w:hint="eastAsia" w:ascii="仿宋_GB2312" w:hAnsi="宋体" w:eastAsia="仿宋_GB2312" w:cs="宋体"/>
          <w:b/>
          <w:color w:val="auto"/>
          <w:sz w:val="30"/>
          <w:szCs w:val="30"/>
        </w:rPr>
        <w:t>第一章  项目需求</w:t>
      </w:r>
    </w:p>
    <w:p w14:paraId="357B7002">
      <w:pPr>
        <w:pStyle w:val="5"/>
        <w:spacing w:line="360" w:lineRule="auto"/>
        <w:ind w:firstLine="562"/>
        <w:rPr>
          <w:rFonts w:hAnsi="宋体"/>
          <w:b/>
          <w:color w:val="auto"/>
          <w:sz w:val="28"/>
          <w:szCs w:val="28"/>
        </w:rPr>
      </w:pPr>
      <w:r>
        <w:rPr>
          <w:rFonts w:hint="eastAsia" w:hAnsi="宋体"/>
          <w:b/>
          <w:color w:val="auto"/>
          <w:sz w:val="28"/>
          <w:szCs w:val="28"/>
        </w:rPr>
        <w:t>一、采购项目内容</w:t>
      </w:r>
    </w:p>
    <w:p w14:paraId="49252EEF">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本项目位于广州市黄埔区（南岗街道）丹水坑路123号广州市第十二人民医院内。项目建设内容主要是针对地下负一层车库电梯及走火通道门进入医院院区进行综合门禁管理系统的设计和实施。负一层共</w:t>
      </w:r>
      <w:r>
        <w:rPr>
          <w:rFonts w:ascii="仿宋_GB2312" w:hAnsi="宋体" w:eastAsia="仿宋_GB2312" w:cs="宋体"/>
          <w:color w:val="auto"/>
          <w:sz w:val="24"/>
        </w:rPr>
        <w:t>20个防火门及27</w:t>
      </w:r>
      <w:r>
        <w:rPr>
          <w:rFonts w:hint="eastAsia" w:ascii="仿宋_GB2312" w:hAnsi="宋体" w:eastAsia="仿宋_GB2312" w:cs="宋体"/>
          <w:color w:val="auto"/>
          <w:sz w:val="24"/>
        </w:rPr>
        <w:t>部电梯需刷卡控制。设计</w:t>
      </w:r>
      <w:r>
        <w:rPr>
          <w:rFonts w:hint="eastAsia" w:ascii="仿宋_GB2312" w:hAnsi="宋体" w:eastAsia="仿宋_GB2312" w:cs="宋体"/>
          <w:color w:val="auto"/>
          <w:sz w:val="24"/>
          <w:lang w:eastAsia="zh-CN"/>
        </w:rPr>
        <w:t>实施</w:t>
      </w:r>
      <w:r>
        <w:rPr>
          <w:rFonts w:hint="eastAsia" w:ascii="仿宋_GB2312" w:hAnsi="宋体" w:eastAsia="仿宋_GB2312" w:cs="宋体"/>
          <w:color w:val="auto"/>
          <w:sz w:val="24"/>
        </w:rPr>
        <w:t>方案需遵循兼容现有门禁管理系统、技术先进、功能齐全、性能稳定标准设计、方便管理、节约成本的原则。并综合考虑</w:t>
      </w:r>
      <w:r>
        <w:rPr>
          <w:rFonts w:hint="eastAsia" w:ascii="仿宋_GB2312" w:hAnsi="宋体" w:eastAsia="仿宋_GB2312" w:cs="宋体"/>
          <w:color w:val="auto"/>
          <w:sz w:val="24"/>
          <w:lang w:eastAsia="zh-CN"/>
        </w:rPr>
        <w:t>实施</w:t>
      </w:r>
      <w:r>
        <w:rPr>
          <w:rFonts w:hint="eastAsia" w:ascii="仿宋_GB2312" w:hAnsi="宋体" w:eastAsia="仿宋_GB2312" w:cs="宋体"/>
          <w:color w:val="auto"/>
          <w:sz w:val="24"/>
        </w:rPr>
        <w:t>、维护及操作因素，并将为今后的发展、扩建、改造等因素留有扩充的余地。此次门禁系统采购采用一揽子全包原则，由中标方负责我院负一楼门禁点的设计安装。</w:t>
      </w:r>
    </w:p>
    <w:p w14:paraId="430926BE">
      <w:pPr>
        <w:pStyle w:val="5"/>
        <w:spacing w:line="360" w:lineRule="auto"/>
        <w:ind w:firstLine="562"/>
        <w:rPr>
          <w:rFonts w:hAnsi="宋体"/>
          <w:b/>
          <w:color w:val="auto"/>
          <w:sz w:val="28"/>
          <w:szCs w:val="28"/>
        </w:rPr>
      </w:pPr>
      <w:r>
        <w:rPr>
          <w:rFonts w:hint="eastAsia" w:hAnsi="宋体"/>
          <w:b/>
          <w:color w:val="auto"/>
          <w:sz w:val="28"/>
          <w:szCs w:val="28"/>
        </w:rPr>
        <w:t>二、本项目设最高限价：人民币</w:t>
      </w:r>
      <w:r>
        <w:rPr>
          <w:rFonts w:hint="eastAsia" w:hAnsi="宋体"/>
          <w:b/>
          <w:color w:val="auto"/>
          <w:sz w:val="28"/>
          <w:szCs w:val="28"/>
          <w:lang w:val="en-US" w:eastAsia="zh-CN"/>
        </w:rPr>
        <w:t>9.8</w:t>
      </w:r>
      <w:r>
        <w:rPr>
          <w:rFonts w:hint="eastAsia" w:hAnsi="宋体"/>
          <w:b/>
          <w:color w:val="auto"/>
          <w:sz w:val="28"/>
          <w:szCs w:val="28"/>
        </w:rPr>
        <w:t>万元</w:t>
      </w:r>
    </w:p>
    <w:p w14:paraId="7915041A">
      <w:pPr>
        <w:pStyle w:val="5"/>
        <w:spacing w:line="360" w:lineRule="auto"/>
        <w:ind w:firstLine="562"/>
        <w:rPr>
          <w:rFonts w:hAnsi="宋体"/>
          <w:b/>
          <w:color w:val="auto"/>
          <w:sz w:val="28"/>
          <w:szCs w:val="28"/>
        </w:rPr>
      </w:pPr>
      <w:bookmarkStart w:id="0" w:name="_Toc337473965"/>
      <w:bookmarkStart w:id="1" w:name="_Toc355535481"/>
      <w:r>
        <w:rPr>
          <w:rFonts w:hint="eastAsia" w:hAnsi="宋体"/>
          <w:b/>
          <w:color w:val="auto"/>
          <w:sz w:val="28"/>
          <w:szCs w:val="28"/>
        </w:rPr>
        <w:t>三、主要门禁刷卡控制部位清单</w:t>
      </w:r>
      <w:bookmarkEnd w:id="0"/>
      <w:r>
        <w:rPr>
          <w:rFonts w:hint="eastAsia" w:hAnsi="宋体"/>
          <w:b/>
          <w:color w:val="auto"/>
          <w:sz w:val="28"/>
          <w:szCs w:val="28"/>
        </w:rPr>
        <w:t>列表</w:t>
      </w:r>
      <w:bookmarkEnd w:id="1"/>
    </w:p>
    <w:tbl>
      <w:tblPr>
        <w:tblStyle w:val="2"/>
        <w:tblW w:w="8900" w:type="dxa"/>
        <w:tblInd w:w="0" w:type="dxa"/>
        <w:tblLayout w:type="autofit"/>
        <w:tblCellMar>
          <w:top w:w="0" w:type="dxa"/>
          <w:left w:w="108" w:type="dxa"/>
          <w:bottom w:w="0" w:type="dxa"/>
          <w:right w:w="108" w:type="dxa"/>
        </w:tblCellMar>
      </w:tblPr>
      <w:tblGrid>
        <w:gridCol w:w="1080"/>
        <w:gridCol w:w="4100"/>
        <w:gridCol w:w="2200"/>
        <w:gridCol w:w="1520"/>
      </w:tblGrid>
      <w:tr w14:paraId="3D062E2A">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C280">
            <w:pPr>
              <w:widowControl/>
              <w:jc w:val="center"/>
              <w:rPr>
                <w:rFonts w:ascii="宋体" w:hAnsi="宋体" w:eastAsia="宋体" w:cs="宋体"/>
                <w:b/>
                <w:bCs/>
                <w:color w:val="auto"/>
                <w:kern w:val="0"/>
                <w:sz w:val="22"/>
              </w:rPr>
            </w:pPr>
            <w:bookmarkStart w:id="2" w:name="_Toc353887058"/>
            <w:bookmarkStart w:id="3" w:name="_Toc357022686"/>
            <w:bookmarkStart w:id="4" w:name="_Toc235872233"/>
            <w:bookmarkStart w:id="5" w:name="_Toc359310477"/>
            <w:bookmarkStart w:id="6" w:name="_Toc358239241"/>
            <w:r>
              <w:rPr>
                <w:rFonts w:hint="eastAsia" w:ascii="宋体" w:hAnsi="宋体" w:eastAsia="宋体" w:cs="宋体"/>
                <w:b/>
                <w:bCs/>
                <w:color w:val="auto"/>
                <w:kern w:val="0"/>
                <w:sz w:val="22"/>
              </w:rPr>
              <w:t>位置</w:t>
            </w:r>
          </w:p>
        </w:tc>
        <w:tc>
          <w:tcPr>
            <w:tcW w:w="4100" w:type="dxa"/>
            <w:tcBorders>
              <w:top w:val="single" w:color="auto" w:sz="4" w:space="0"/>
              <w:left w:val="nil"/>
              <w:bottom w:val="single" w:color="auto" w:sz="4" w:space="0"/>
              <w:right w:val="single" w:color="auto" w:sz="4" w:space="0"/>
            </w:tcBorders>
            <w:shd w:val="clear" w:color="auto" w:fill="auto"/>
            <w:noWrap/>
            <w:vAlign w:val="center"/>
          </w:tcPr>
          <w:p w14:paraId="5EB94A81">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受控电梯及防火门位置</w:t>
            </w:r>
          </w:p>
        </w:tc>
        <w:tc>
          <w:tcPr>
            <w:tcW w:w="2200" w:type="dxa"/>
            <w:tcBorders>
              <w:top w:val="single" w:color="auto" w:sz="4" w:space="0"/>
              <w:left w:val="nil"/>
              <w:bottom w:val="single" w:color="auto" w:sz="4" w:space="0"/>
              <w:right w:val="single" w:color="auto" w:sz="4" w:space="0"/>
            </w:tcBorders>
            <w:shd w:val="clear" w:color="auto" w:fill="auto"/>
            <w:noWrap/>
            <w:vAlign w:val="center"/>
          </w:tcPr>
          <w:p w14:paraId="13D3A69C">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刷卡控制呼梯</w:t>
            </w:r>
          </w:p>
        </w:tc>
        <w:tc>
          <w:tcPr>
            <w:tcW w:w="1520" w:type="dxa"/>
            <w:tcBorders>
              <w:top w:val="single" w:color="auto" w:sz="4" w:space="0"/>
              <w:left w:val="nil"/>
              <w:bottom w:val="single" w:color="auto" w:sz="4" w:space="0"/>
              <w:right w:val="single" w:color="auto" w:sz="4" w:space="0"/>
            </w:tcBorders>
            <w:shd w:val="clear" w:color="auto" w:fill="auto"/>
            <w:noWrap/>
            <w:vAlign w:val="center"/>
          </w:tcPr>
          <w:p w14:paraId="511CE69B">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刷卡控制开门</w:t>
            </w:r>
          </w:p>
        </w:tc>
      </w:tr>
      <w:tr w14:paraId="48D45C7B">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14:paraId="4CEBFED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负一楼</w:t>
            </w:r>
          </w:p>
        </w:tc>
        <w:tc>
          <w:tcPr>
            <w:tcW w:w="4100" w:type="dxa"/>
            <w:tcBorders>
              <w:top w:val="nil"/>
              <w:left w:val="nil"/>
              <w:bottom w:val="single" w:color="auto" w:sz="4" w:space="0"/>
              <w:right w:val="single" w:color="auto" w:sz="4" w:space="0"/>
            </w:tcBorders>
            <w:shd w:val="clear" w:color="auto" w:fill="auto"/>
            <w:noWrap/>
            <w:vAlign w:val="center"/>
          </w:tcPr>
          <w:p w14:paraId="2B57343A">
            <w:pPr>
              <w:widowControl/>
              <w:jc w:val="left"/>
              <w:rPr>
                <w:rFonts w:ascii="宋体" w:hAnsi="宋体" w:eastAsia="宋体" w:cs="宋体"/>
                <w:color w:val="auto"/>
                <w:kern w:val="0"/>
                <w:sz w:val="22"/>
              </w:rPr>
            </w:pPr>
            <w:r>
              <w:rPr>
                <w:rFonts w:hint="eastAsia" w:ascii="宋体" w:hAnsi="宋体" w:eastAsia="宋体" w:cs="宋体"/>
                <w:color w:val="auto"/>
                <w:kern w:val="0"/>
                <w:sz w:val="22"/>
              </w:rPr>
              <w:t>3#电梯</w:t>
            </w:r>
          </w:p>
        </w:tc>
        <w:tc>
          <w:tcPr>
            <w:tcW w:w="2200" w:type="dxa"/>
            <w:tcBorders>
              <w:top w:val="nil"/>
              <w:left w:val="nil"/>
              <w:bottom w:val="single" w:color="auto" w:sz="4" w:space="0"/>
              <w:right w:val="single" w:color="auto" w:sz="4" w:space="0"/>
            </w:tcBorders>
            <w:shd w:val="clear" w:color="auto" w:fill="auto"/>
            <w:noWrap/>
            <w:vAlign w:val="center"/>
          </w:tcPr>
          <w:p w14:paraId="4752C25A">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D300BB3">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14:paraId="5B9EA4D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AC725EC">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4DA8B6">
            <w:pPr>
              <w:widowControl/>
              <w:jc w:val="left"/>
              <w:rPr>
                <w:rFonts w:ascii="宋体" w:hAnsi="宋体" w:eastAsia="宋体" w:cs="宋体"/>
                <w:color w:val="auto"/>
                <w:kern w:val="0"/>
                <w:sz w:val="22"/>
              </w:rPr>
            </w:pPr>
            <w:r>
              <w:rPr>
                <w:rFonts w:hint="eastAsia" w:ascii="宋体" w:hAnsi="宋体" w:eastAsia="宋体" w:cs="宋体"/>
                <w:color w:val="auto"/>
                <w:kern w:val="0"/>
                <w:sz w:val="22"/>
              </w:rPr>
              <w:t>3#电梯厅外旁下负二走火梯门</w:t>
            </w:r>
          </w:p>
        </w:tc>
        <w:tc>
          <w:tcPr>
            <w:tcW w:w="2200" w:type="dxa"/>
            <w:tcBorders>
              <w:top w:val="nil"/>
              <w:left w:val="nil"/>
              <w:bottom w:val="single" w:color="auto" w:sz="4" w:space="0"/>
              <w:right w:val="single" w:color="auto" w:sz="4" w:space="0"/>
            </w:tcBorders>
            <w:shd w:val="clear" w:color="auto" w:fill="auto"/>
            <w:noWrap/>
            <w:vAlign w:val="center"/>
          </w:tcPr>
          <w:p w14:paraId="43716E9A">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A416BE9">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21003B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B25B03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69ADC5F">
            <w:pPr>
              <w:widowControl/>
              <w:jc w:val="left"/>
              <w:rPr>
                <w:rFonts w:ascii="宋体" w:hAnsi="宋体" w:eastAsia="宋体" w:cs="宋体"/>
                <w:color w:val="auto"/>
                <w:kern w:val="0"/>
                <w:sz w:val="22"/>
              </w:rPr>
            </w:pPr>
            <w:r>
              <w:rPr>
                <w:rFonts w:hint="eastAsia" w:ascii="宋体" w:hAnsi="宋体" w:eastAsia="宋体" w:cs="宋体"/>
                <w:color w:val="auto"/>
                <w:kern w:val="0"/>
                <w:sz w:val="22"/>
              </w:rPr>
              <w:t>4#电梯</w:t>
            </w:r>
          </w:p>
        </w:tc>
        <w:tc>
          <w:tcPr>
            <w:tcW w:w="2200" w:type="dxa"/>
            <w:tcBorders>
              <w:top w:val="nil"/>
              <w:left w:val="nil"/>
              <w:bottom w:val="single" w:color="auto" w:sz="4" w:space="0"/>
              <w:right w:val="single" w:color="auto" w:sz="4" w:space="0"/>
            </w:tcBorders>
            <w:shd w:val="clear" w:color="auto" w:fill="auto"/>
            <w:noWrap/>
            <w:vAlign w:val="center"/>
          </w:tcPr>
          <w:p w14:paraId="1F5497E8">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472D832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524F81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B81EFB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4D012FF">
            <w:pPr>
              <w:widowControl/>
              <w:jc w:val="left"/>
              <w:rPr>
                <w:rFonts w:ascii="宋体" w:hAnsi="宋体" w:eastAsia="宋体" w:cs="宋体"/>
                <w:color w:val="auto"/>
                <w:kern w:val="0"/>
                <w:sz w:val="22"/>
              </w:rPr>
            </w:pPr>
            <w:r>
              <w:rPr>
                <w:rFonts w:hint="eastAsia" w:ascii="宋体" w:hAnsi="宋体" w:eastAsia="宋体" w:cs="宋体"/>
                <w:color w:val="auto"/>
                <w:kern w:val="0"/>
                <w:sz w:val="22"/>
              </w:rPr>
              <w:t>5#电梯</w:t>
            </w:r>
          </w:p>
        </w:tc>
        <w:tc>
          <w:tcPr>
            <w:tcW w:w="2200" w:type="dxa"/>
            <w:tcBorders>
              <w:top w:val="nil"/>
              <w:left w:val="nil"/>
              <w:bottom w:val="single" w:color="auto" w:sz="4" w:space="0"/>
              <w:right w:val="single" w:color="auto" w:sz="4" w:space="0"/>
            </w:tcBorders>
            <w:shd w:val="clear" w:color="auto" w:fill="auto"/>
            <w:noWrap/>
            <w:vAlign w:val="center"/>
          </w:tcPr>
          <w:p w14:paraId="353AB565">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0FF89A8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65BAE5A">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A01898B">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151A4BC">
            <w:pPr>
              <w:widowControl/>
              <w:jc w:val="left"/>
              <w:rPr>
                <w:rFonts w:ascii="宋体" w:hAnsi="宋体" w:eastAsia="宋体" w:cs="宋体"/>
                <w:color w:val="auto"/>
                <w:kern w:val="0"/>
                <w:sz w:val="22"/>
              </w:rPr>
            </w:pPr>
            <w:r>
              <w:rPr>
                <w:rFonts w:hint="eastAsia" w:ascii="宋体" w:hAnsi="宋体" w:eastAsia="宋体" w:cs="宋体"/>
                <w:color w:val="auto"/>
                <w:kern w:val="0"/>
                <w:sz w:val="22"/>
              </w:rPr>
              <w:t>5#电梯旁走火梯门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661C70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40646FB3">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5A9527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3F1CBB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B836EF">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w:t>
            </w:r>
          </w:p>
        </w:tc>
        <w:tc>
          <w:tcPr>
            <w:tcW w:w="2200" w:type="dxa"/>
            <w:tcBorders>
              <w:top w:val="nil"/>
              <w:left w:val="nil"/>
              <w:bottom w:val="single" w:color="auto" w:sz="4" w:space="0"/>
              <w:right w:val="single" w:color="auto" w:sz="4" w:space="0"/>
            </w:tcBorders>
            <w:shd w:val="clear" w:color="auto" w:fill="auto"/>
            <w:noWrap/>
            <w:vAlign w:val="center"/>
          </w:tcPr>
          <w:p w14:paraId="3D53796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62CFFB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5A8A64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86EE15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5901985">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7#电梯旁走火梯门（1）</w:t>
            </w:r>
          </w:p>
        </w:tc>
        <w:tc>
          <w:tcPr>
            <w:tcW w:w="2200" w:type="dxa"/>
            <w:tcBorders>
              <w:top w:val="nil"/>
              <w:left w:val="nil"/>
              <w:bottom w:val="single" w:color="auto" w:sz="4" w:space="0"/>
              <w:right w:val="single" w:color="auto" w:sz="4" w:space="0"/>
            </w:tcBorders>
            <w:shd w:val="clear" w:color="auto" w:fill="auto"/>
            <w:noWrap/>
            <w:vAlign w:val="center"/>
          </w:tcPr>
          <w:p w14:paraId="6336F72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2D4FF04">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C5CBDB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888763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C28397F">
            <w:pPr>
              <w:widowControl/>
              <w:jc w:val="left"/>
              <w:rPr>
                <w:rFonts w:ascii="宋体" w:hAnsi="宋体" w:eastAsia="宋体" w:cs="宋体"/>
                <w:color w:val="auto"/>
                <w:kern w:val="0"/>
                <w:sz w:val="22"/>
              </w:rPr>
            </w:pPr>
            <w:r>
              <w:rPr>
                <w:rFonts w:hint="eastAsia" w:ascii="宋体" w:hAnsi="宋体" w:eastAsia="宋体" w:cs="宋体"/>
                <w:color w:val="auto"/>
                <w:kern w:val="0"/>
                <w:sz w:val="22"/>
              </w:rPr>
              <w:t>7#电梯旁走火梯门（2）</w:t>
            </w:r>
          </w:p>
        </w:tc>
        <w:tc>
          <w:tcPr>
            <w:tcW w:w="2200" w:type="dxa"/>
            <w:tcBorders>
              <w:top w:val="nil"/>
              <w:left w:val="nil"/>
              <w:bottom w:val="single" w:color="auto" w:sz="4" w:space="0"/>
              <w:right w:val="single" w:color="auto" w:sz="4" w:space="0"/>
            </w:tcBorders>
            <w:shd w:val="clear" w:color="auto" w:fill="auto"/>
            <w:noWrap/>
            <w:vAlign w:val="center"/>
          </w:tcPr>
          <w:p w14:paraId="63EE754B">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DF57393">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4AAC4E1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471E52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618DB29">
            <w:pPr>
              <w:widowControl/>
              <w:jc w:val="left"/>
              <w:rPr>
                <w:rFonts w:ascii="宋体" w:hAnsi="宋体" w:eastAsia="宋体" w:cs="宋体"/>
                <w:color w:val="auto"/>
                <w:kern w:val="0"/>
                <w:sz w:val="22"/>
              </w:rPr>
            </w:pPr>
            <w:r>
              <w:rPr>
                <w:rFonts w:hint="eastAsia" w:ascii="宋体" w:hAnsi="宋体" w:eastAsia="宋体" w:cs="宋体"/>
                <w:color w:val="auto"/>
                <w:kern w:val="0"/>
                <w:sz w:val="22"/>
              </w:rPr>
              <w:t>8#电梯</w:t>
            </w:r>
          </w:p>
        </w:tc>
        <w:tc>
          <w:tcPr>
            <w:tcW w:w="2200" w:type="dxa"/>
            <w:tcBorders>
              <w:top w:val="nil"/>
              <w:left w:val="nil"/>
              <w:bottom w:val="single" w:color="auto" w:sz="4" w:space="0"/>
              <w:right w:val="single" w:color="auto" w:sz="4" w:space="0"/>
            </w:tcBorders>
            <w:shd w:val="clear" w:color="auto" w:fill="auto"/>
            <w:noWrap/>
            <w:vAlign w:val="center"/>
          </w:tcPr>
          <w:p w14:paraId="6F5B0B57">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27DB46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67F21D4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A4A7AF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736AFD">
            <w:pPr>
              <w:widowControl/>
              <w:jc w:val="left"/>
              <w:rPr>
                <w:rFonts w:ascii="宋体" w:hAnsi="宋体" w:eastAsia="宋体" w:cs="宋体"/>
                <w:color w:val="auto"/>
                <w:kern w:val="0"/>
                <w:sz w:val="22"/>
              </w:rPr>
            </w:pPr>
            <w:r>
              <w:rPr>
                <w:rFonts w:hint="eastAsia" w:ascii="宋体" w:hAnsi="宋体" w:eastAsia="宋体" w:cs="宋体"/>
                <w:color w:val="auto"/>
                <w:kern w:val="0"/>
                <w:sz w:val="22"/>
              </w:rPr>
              <w:t>9#电梯</w:t>
            </w:r>
          </w:p>
        </w:tc>
        <w:tc>
          <w:tcPr>
            <w:tcW w:w="2200" w:type="dxa"/>
            <w:tcBorders>
              <w:top w:val="nil"/>
              <w:left w:val="nil"/>
              <w:bottom w:val="single" w:color="auto" w:sz="4" w:space="0"/>
              <w:right w:val="single" w:color="auto" w:sz="4" w:space="0"/>
            </w:tcBorders>
            <w:shd w:val="clear" w:color="auto" w:fill="auto"/>
            <w:noWrap/>
            <w:vAlign w:val="center"/>
          </w:tcPr>
          <w:p w14:paraId="4789AAF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0006E67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D48824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3ABD2EF">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213D005">
            <w:pPr>
              <w:widowControl/>
              <w:jc w:val="left"/>
              <w:rPr>
                <w:rFonts w:ascii="宋体" w:hAnsi="宋体" w:eastAsia="宋体" w:cs="宋体"/>
                <w:color w:val="auto"/>
                <w:kern w:val="0"/>
                <w:sz w:val="22"/>
              </w:rPr>
            </w:pPr>
            <w:r>
              <w:rPr>
                <w:rFonts w:hint="eastAsia" w:ascii="宋体" w:hAnsi="宋体" w:eastAsia="宋体" w:cs="宋体"/>
                <w:color w:val="auto"/>
                <w:kern w:val="0"/>
                <w:sz w:val="22"/>
              </w:rPr>
              <w:t>8#、9#电梯厅旁下负二走火梯门（1）</w:t>
            </w:r>
          </w:p>
        </w:tc>
        <w:tc>
          <w:tcPr>
            <w:tcW w:w="2200" w:type="dxa"/>
            <w:tcBorders>
              <w:top w:val="nil"/>
              <w:left w:val="nil"/>
              <w:bottom w:val="single" w:color="auto" w:sz="4" w:space="0"/>
              <w:right w:val="single" w:color="auto" w:sz="4" w:space="0"/>
            </w:tcBorders>
            <w:shd w:val="clear" w:color="auto" w:fill="auto"/>
            <w:noWrap/>
            <w:vAlign w:val="center"/>
          </w:tcPr>
          <w:p w14:paraId="021DAF7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A059DC4">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9E552A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BDD8AB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BE35077">
            <w:pPr>
              <w:widowControl/>
              <w:jc w:val="left"/>
              <w:rPr>
                <w:rFonts w:ascii="宋体" w:hAnsi="宋体" w:eastAsia="宋体" w:cs="宋体"/>
                <w:color w:val="auto"/>
                <w:kern w:val="0"/>
                <w:sz w:val="22"/>
              </w:rPr>
            </w:pPr>
            <w:r>
              <w:rPr>
                <w:rFonts w:hint="eastAsia" w:ascii="宋体" w:hAnsi="宋体" w:eastAsia="宋体" w:cs="宋体"/>
                <w:color w:val="auto"/>
                <w:kern w:val="0"/>
                <w:sz w:val="22"/>
              </w:rPr>
              <w:t>8#、9#电梯厅旁下负二走火梯门（2）</w:t>
            </w:r>
          </w:p>
        </w:tc>
        <w:tc>
          <w:tcPr>
            <w:tcW w:w="2200" w:type="dxa"/>
            <w:tcBorders>
              <w:top w:val="nil"/>
              <w:left w:val="nil"/>
              <w:bottom w:val="single" w:color="auto" w:sz="4" w:space="0"/>
              <w:right w:val="single" w:color="auto" w:sz="4" w:space="0"/>
            </w:tcBorders>
            <w:shd w:val="clear" w:color="auto" w:fill="auto"/>
            <w:noWrap/>
            <w:vAlign w:val="center"/>
          </w:tcPr>
          <w:p w14:paraId="3E111DD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3A51ACF">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FB7906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55FE7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BB1F743">
            <w:pPr>
              <w:widowControl/>
              <w:jc w:val="left"/>
              <w:rPr>
                <w:rFonts w:ascii="宋体" w:hAnsi="宋体" w:eastAsia="宋体" w:cs="宋体"/>
                <w:color w:val="auto"/>
                <w:kern w:val="0"/>
                <w:sz w:val="22"/>
              </w:rPr>
            </w:pPr>
            <w:r>
              <w:rPr>
                <w:rFonts w:hint="eastAsia" w:ascii="宋体" w:hAnsi="宋体" w:eastAsia="宋体" w:cs="宋体"/>
                <w:color w:val="auto"/>
                <w:kern w:val="0"/>
                <w:sz w:val="22"/>
              </w:rPr>
              <w:t>10#电梯</w:t>
            </w:r>
          </w:p>
        </w:tc>
        <w:tc>
          <w:tcPr>
            <w:tcW w:w="2200" w:type="dxa"/>
            <w:tcBorders>
              <w:top w:val="nil"/>
              <w:left w:val="nil"/>
              <w:bottom w:val="single" w:color="auto" w:sz="4" w:space="0"/>
              <w:right w:val="single" w:color="auto" w:sz="4" w:space="0"/>
            </w:tcBorders>
            <w:shd w:val="clear" w:color="auto" w:fill="auto"/>
            <w:noWrap/>
            <w:vAlign w:val="center"/>
          </w:tcPr>
          <w:p w14:paraId="089D2E2B">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00476F0">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3287993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0FB55A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03B9CCA">
            <w:pPr>
              <w:widowControl/>
              <w:jc w:val="left"/>
              <w:rPr>
                <w:rFonts w:ascii="宋体" w:hAnsi="宋体" w:eastAsia="宋体" w:cs="宋体"/>
                <w:color w:val="auto"/>
                <w:kern w:val="0"/>
                <w:sz w:val="22"/>
              </w:rPr>
            </w:pPr>
            <w:r>
              <w:rPr>
                <w:rFonts w:hint="eastAsia" w:ascii="宋体" w:hAnsi="宋体" w:eastAsia="宋体" w:cs="宋体"/>
                <w:color w:val="auto"/>
                <w:kern w:val="0"/>
                <w:sz w:val="22"/>
              </w:rPr>
              <w:t>10#电梯旁走火梯门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49DF319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7FCFBD3A">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B1A4E9B">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7DA0C6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50421FF">
            <w:pPr>
              <w:widowControl/>
              <w:jc w:val="left"/>
              <w:rPr>
                <w:rFonts w:ascii="宋体" w:hAnsi="宋体" w:eastAsia="宋体" w:cs="宋体"/>
                <w:color w:val="auto"/>
                <w:kern w:val="0"/>
                <w:sz w:val="22"/>
              </w:rPr>
            </w:pPr>
            <w:r>
              <w:rPr>
                <w:rFonts w:hint="eastAsia" w:ascii="宋体" w:hAnsi="宋体" w:eastAsia="宋体" w:cs="宋体"/>
                <w:color w:val="auto"/>
                <w:kern w:val="0"/>
                <w:sz w:val="22"/>
              </w:rPr>
              <w:t>11#电梯</w:t>
            </w:r>
          </w:p>
        </w:tc>
        <w:tc>
          <w:tcPr>
            <w:tcW w:w="2200" w:type="dxa"/>
            <w:tcBorders>
              <w:top w:val="nil"/>
              <w:left w:val="nil"/>
              <w:bottom w:val="single" w:color="auto" w:sz="4" w:space="0"/>
              <w:right w:val="single" w:color="auto" w:sz="4" w:space="0"/>
            </w:tcBorders>
            <w:shd w:val="clear" w:color="auto" w:fill="auto"/>
            <w:noWrap/>
            <w:vAlign w:val="center"/>
          </w:tcPr>
          <w:p w14:paraId="0B3F423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193F2FC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03B95F3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51CAD8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D19A806">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w:t>
            </w:r>
          </w:p>
        </w:tc>
        <w:tc>
          <w:tcPr>
            <w:tcW w:w="2200" w:type="dxa"/>
            <w:tcBorders>
              <w:top w:val="nil"/>
              <w:left w:val="nil"/>
              <w:bottom w:val="single" w:color="auto" w:sz="4" w:space="0"/>
              <w:right w:val="single" w:color="auto" w:sz="4" w:space="0"/>
            </w:tcBorders>
            <w:shd w:val="clear" w:color="auto" w:fill="auto"/>
            <w:noWrap/>
            <w:vAlign w:val="center"/>
          </w:tcPr>
          <w:p w14:paraId="4F8FF4A9">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39B5249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FB61D2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414056C">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6487DE0">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12#电梯旁走火梯门（1）</w:t>
            </w:r>
          </w:p>
        </w:tc>
        <w:tc>
          <w:tcPr>
            <w:tcW w:w="2200" w:type="dxa"/>
            <w:tcBorders>
              <w:top w:val="nil"/>
              <w:left w:val="nil"/>
              <w:bottom w:val="single" w:color="auto" w:sz="4" w:space="0"/>
              <w:right w:val="single" w:color="auto" w:sz="4" w:space="0"/>
            </w:tcBorders>
            <w:shd w:val="clear" w:color="auto" w:fill="auto"/>
            <w:noWrap/>
            <w:vAlign w:val="center"/>
          </w:tcPr>
          <w:p w14:paraId="1A60E97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A58F7D1">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3427DCE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B08D60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D9313C3">
            <w:pPr>
              <w:widowControl/>
              <w:jc w:val="left"/>
              <w:rPr>
                <w:rFonts w:ascii="宋体" w:hAnsi="宋体" w:eastAsia="宋体" w:cs="宋体"/>
                <w:color w:val="auto"/>
                <w:kern w:val="0"/>
                <w:sz w:val="22"/>
              </w:rPr>
            </w:pPr>
            <w:r>
              <w:rPr>
                <w:rFonts w:hint="eastAsia" w:ascii="宋体" w:hAnsi="宋体" w:eastAsia="宋体" w:cs="宋体"/>
                <w:color w:val="auto"/>
                <w:kern w:val="0"/>
                <w:sz w:val="22"/>
              </w:rPr>
              <w:t>12#电梯旁走火梯门（2）</w:t>
            </w:r>
          </w:p>
        </w:tc>
        <w:tc>
          <w:tcPr>
            <w:tcW w:w="2200" w:type="dxa"/>
            <w:tcBorders>
              <w:top w:val="nil"/>
              <w:left w:val="nil"/>
              <w:bottom w:val="single" w:color="auto" w:sz="4" w:space="0"/>
              <w:right w:val="single" w:color="auto" w:sz="4" w:space="0"/>
            </w:tcBorders>
            <w:shd w:val="clear" w:color="auto" w:fill="auto"/>
            <w:noWrap/>
            <w:vAlign w:val="center"/>
          </w:tcPr>
          <w:p w14:paraId="048BC43B">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6268A20">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BC837C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B8C4B2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07E451D">
            <w:pPr>
              <w:widowControl/>
              <w:jc w:val="left"/>
              <w:rPr>
                <w:rFonts w:ascii="宋体" w:hAnsi="宋体" w:eastAsia="宋体" w:cs="宋体"/>
                <w:color w:val="auto"/>
                <w:kern w:val="0"/>
                <w:sz w:val="22"/>
              </w:rPr>
            </w:pPr>
            <w:r>
              <w:rPr>
                <w:rFonts w:hint="eastAsia" w:ascii="宋体" w:hAnsi="宋体" w:eastAsia="宋体" w:cs="宋体"/>
                <w:color w:val="auto"/>
                <w:kern w:val="0"/>
                <w:sz w:val="22"/>
              </w:rPr>
              <w:t>13#电梯</w:t>
            </w:r>
          </w:p>
        </w:tc>
        <w:tc>
          <w:tcPr>
            <w:tcW w:w="2200" w:type="dxa"/>
            <w:tcBorders>
              <w:top w:val="nil"/>
              <w:left w:val="nil"/>
              <w:bottom w:val="single" w:color="auto" w:sz="4" w:space="0"/>
              <w:right w:val="single" w:color="auto" w:sz="4" w:space="0"/>
            </w:tcBorders>
            <w:shd w:val="clear" w:color="auto" w:fill="auto"/>
            <w:noWrap/>
            <w:vAlign w:val="center"/>
          </w:tcPr>
          <w:p w14:paraId="6BBB20B3">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6167C3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6BF233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26B03CE">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8C7F965">
            <w:pPr>
              <w:widowControl/>
              <w:jc w:val="left"/>
              <w:rPr>
                <w:rFonts w:ascii="宋体" w:hAnsi="宋体" w:eastAsia="宋体" w:cs="宋体"/>
                <w:color w:val="auto"/>
                <w:kern w:val="0"/>
                <w:sz w:val="22"/>
              </w:rPr>
            </w:pPr>
            <w:r>
              <w:rPr>
                <w:rFonts w:hint="eastAsia" w:ascii="宋体" w:hAnsi="宋体" w:eastAsia="宋体" w:cs="宋体"/>
                <w:color w:val="auto"/>
                <w:kern w:val="0"/>
                <w:sz w:val="22"/>
              </w:rPr>
              <w:t>17#电梯</w:t>
            </w:r>
          </w:p>
        </w:tc>
        <w:tc>
          <w:tcPr>
            <w:tcW w:w="2200" w:type="dxa"/>
            <w:tcBorders>
              <w:top w:val="nil"/>
              <w:left w:val="nil"/>
              <w:bottom w:val="single" w:color="auto" w:sz="4" w:space="0"/>
              <w:right w:val="single" w:color="auto" w:sz="4" w:space="0"/>
            </w:tcBorders>
            <w:shd w:val="clear" w:color="auto" w:fill="auto"/>
            <w:noWrap/>
            <w:vAlign w:val="center"/>
          </w:tcPr>
          <w:p w14:paraId="0869CFE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0C478E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51D1A5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B47F8A5">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FFBC896">
            <w:pPr>
              <w:widowControl/>
              <w:jc w:val="left"/>
              <w:rPr>
                <w:rFonts w:ascii="宋体" w:hAnsi="宋体" w:eastAsia="宋体" w:cs="宋体"/>
                <w:color w:val="auto"/>
                <w:kern w:val="0"/>
                <w:sz w:val="22"/>
              </w:rPr>
            </w:pPr>
            <w:r>
              <w:rPr>
                <w:rFonts w:hint="eastAsia" w:ascii="宋体" w:hAnsi="宋体" w:eastAsia="宋体" w:cs="宋体"/>
                <w:color w:val="auto"/>
                <w:kern w:val="0"/>
                <w:sz w:val="22"/>
              </w:rPr>
              <w:t>18#电梯</w:t>
            </w:r>
          </w:p>
        </w:tc>
        <w:tc>
          <w:tcPr>
            <w:tcW w:w="2200" w:type="dxa"/>
            <w:tcBorders>
              <w:top w:val="nil"/>
              <w:left w:val="nil"/>
              <w:bottom w:val="single" w:color="auto" w:sz="4" w:space="0"/>
              <w:right w:val="single" w:color="auto" w:sz="4" w:space="0"/>
            </w:tcBorders>
            <w:shd w:val="clear" w:color="auto" w:fill="auto"/>
            <w:noWrap/>
            <w:vAlign w:val="center"/>
          </w:tcPr>
          <w:p w14:paraId="4411DD0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2ABB39A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E325F0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DE47D9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86400A">
            <w:pPr>
              <w:widowControl/>
              <w:jc w:val="left"/>
              <w:rPr>
                <w:rFonts w:ascii="宋体" w:hAnsi="宋体" w:eastAsia="宋体" w:cs="宋体"/>
                <w:color w:val="auto"/>
                <w:kern w:val="0"/>
                <w:sz w:val="22"/>
              </w:rPr>
            </w:pPr>
            <w:r>
              <w:rPr>
                <w:rFonts w:hint="eastAsia" w:ascii="宋体" w:hAnsi="宋体" w:eastAsia="宋体" w:cs="宋体"/>
                <w:color w:val="auto"/>
                <w:kern w:val="0"/>
                <w:sz w:val="22"/>
              </w:rPr>
              <w:t>18#电梯旁走火梯门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061FF2C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1E9614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28956F0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AD5B6E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5376B1B">
            <w:pPr>
              <w:widowControl/>
              <w:jc w:val="left"/>
              <w:rPr>
                <w:rFonts w:ascii="宋体" w:hAnsi="宋体" w:eastAsia="宋体" w:cs="宋体"/>
                <w:color w:val="auto"/>
                <w:kern w:val="0"/>
                <w:sz w:val="22"/>
              </w:rPr>
            </w:pPr>
            <w:r>
              <w:rPr>
                <w:rFonts w:hint="eastAsia" w:ascii="宋体" w:hAnsi="宋体" w:eastAsia="宋体" w:cs="宋体"/>
                <w:color w:val="auto"/>
                <w:kern w:val="0"/>
                <w:sz w:val="22"/>
              </w:rPr>
              <w:t>西南角坡道门</w:t>
            </w:r>
          </w:p>
        </w:tc>
        <w:tc>
          <w:tcPr>
            <w:tcW w:w="2200" w:type="dxa"/>
            <w:tcBorders>
              <w:top w:val="nil"/>
              <w:left w:val="nil"/>
              <w:bottom w:val="single" w:color="auto" w:sz="4" w:space="0"/>
              <w:right w:val="single" w:color="auto" w:sz="4" w:space="0"/>
            </w:tcBorders>
            <w:shd w:val="clear" w:color="auto" w:fill="auto"/>
            <w:noWrap/>
            <w:vAlign w:val="center"/>
          </w:tcPr>
          <w:p w14:paraId="7EC6BBD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0DA756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EB73C0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250073C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F9BF816">
            <w:pPr>
              <w:widowControl/>
              <w:jc w:val="left"/>
              <w:rPr>
                <w:rFonts w:ascii="宋体" w:hAnsi="宋体" w:eastAsia="宋体" w:cs="宋体"/>
                <w:color w:val="auto"/>
                <w:kern w:val="0"/>
                <w:sz w:val="22"/>
              </w:rPr>
            </w:pPr>
            <w:r>
              <w:rPr>
                <w:rFonts w:hint="eastAsia" w:ascii="宋体" w:hAnsi="宋体" w:eastAsia="宋体" w:cs="宋体"/>
                <w:color w:val="auto"/>
                <w:kern w:val="0"/>
                <w:sz w:val="22"/>
              </w:rPr>
              <w:t>厨房送货通道</w:t>
            </w:r>
          </w:p>
        </w:tc>
        <w:tc>
          <w:tcPr>
            <w:tcW w:w="2200" w:type="dxa"/>
            <w:tcBorders>
              <w:top w:val="nil"/>
              <w:left w:val="nil"/>
              <w:bottom w:val="single" w:color="auto" w:sz="4" w:space="0"/>
              <w:right w:val="single" w:color="auto" w:sz="4" w:space="0"/>
            </w:tcBorders>
            <w:shd w:val="clear" w:color="auto" w:fill="auto"/>
            <w:noWrap/>
            <w:vAlign w:val="center"/>
          </w:tcPr>
          <w:p w14:paraId="24BF4EC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9D4491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1BD2198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58A86C7">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FABCB56">
            <w:pPr>
              <w:widowControl/>
              <w:jc w:val="left"/>
              <w:rPr>
                <w:rFonts w:ascii="宋体" w:hAnsi="宋体" w:eastAsia="宋体" w:cs="宋体"/>
                <w:color w:val="auto"/>
                <w:kern w:val="0"/>
                <w:sz w:val="22"/>
              </w:rPr>
            </w:pPr>
            <w:r>
              <w:rPr>
                <w:rFonts w:hint="eastAsia" w:ascii="宋体" w:hAnsi="宋体" w:eastAsia="宋体" w:cs="宋体"/>
                <w:color w:val="auto"/>
                <w:kern w:val="0"/>
                <w:sz w:val="22"/>
              </w:rPr>
              <w:t>厨房走火梯门</w:t>
            </w:r>
          </w:p>
        </w:tc>
        <w:tc>
          <w:tcPr>
            <w:tcW w:w="2200" w:type="dxa"/>
            <w:tcBorders>
              <w:top w:val="nil"/>
              <w:left w:val="nil"/>
              <w:bottom w:val="single" w:color="auto" w:sz="4" w:space="0"/>
              <w:right w:val="single" w:color="auto" w:sz="4" w:space="0"/>
            </w:tcBorders>
            <w:shd w:val="clear" w:color="auto" w:fill="auto"/>
            <w:noWrap/>
            <w:vAlign w:val="center"/>
          </w:tcPr>
          <w:p w14:paraId="02A7C558">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EBEE08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82FD13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33F815B">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6049044">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w:t>
            </w:r>
          </w:p>
        </w:tc>
        <w:tc>
          <w:tcPr>
            <w:tcW w:w="2200" w:type="dxa"/>
            <w:tcBorders>
              <w:top w:val="nil"/>
              <w:left w:val="nil"/>
              <w:bottom w:val="single" w:color="auto" w:sz="4" w:space="0"/>
              <w:right w:val="single" w:color="auto" w:sz="4" w:space="0"/>
            </w:tcBorders>
            <w:shd w:val="clear" w:color="auto" w:fill="auto"/>
            <w:noWrap/>
            <w:vAlign w:val="center"/>
          </w:tcPr>
          <w:p w14:paraId="374526EC">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66BC315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CF64CF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7825D7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9E5AE89">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AEDB31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9CC87B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58132F2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CD002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B0483FB">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20#电梯旁走火梯通道门（1）</w:t>
            </w:r>
          </w:p>
        </w:tc>
        <w:tc>
          <w:tcPr>
            <w:tcW w:w="2200" w:type="dxa"/>
            <w:tcBorders>
              <w:top w:val="nil"/>
              <w:left w:val="nil"/>
              <w:bottom w:val="single" w:color="auto" w:sz="4" w:space="0"/>
              <w:right w:val="single" w:color="auto" w:sz="4" w:space="0"/>
            </w:tcBorders>
            <w:shd w:val="clear" w:color="auto" w:fill="auto"/>
            <w:noWrap/>
            <w:vAlign w:val="center"/>
          </w:tcPr>
          <w:p w14:paraId="6939C85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869ED5C">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08264E3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3B53C2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457F2D9">
            <w:pPr>
              <w:widowControl/>
              <w:jc w:val="left"/>
              <w:rPr>
                <w:rFonts w:ascii="宋体" w:hAnsi="宋体" w:eastAsia="宋体" w:cs="宋体"/>
                <w:color w:val="auto"/>
                <w:kern w:val="0"/>
                <w:sz w:val="22"/>
              </w:rPr>
            </w:pPr>
            <w:r>
              <w:rPr>
                <w:rFonts w:hint="eastAsia" w:ascii="宋体" w:hAnsi="宋体" w:eastAsia="宋体" w:cs="宋体"/>
                <w:color w:val="auto"/>
                <w:kern w:val="0"/>
                <w:sz w:val="22"/>
              </w:rPr>
              <w:t>20#电梯旁走火梯通道门（2）</w:t>
            </w:r>
          </w:p>
        </w:tc>
        <w:tc>
          <w:tcPr>
            <w:tcW w:w="2200" w:type="dxa"/>
            <w:tcBorders>
              <w:top w:val="nil"/>
              <w:left w:val="nil"/>
              <w:bottom w:val="single" w:color="auto" w:sz="4" w:space="0"/>
              <w:right w:val="single" w:color="auto" w:sz="4" w:space="0"/>
            </w:tcBorders>
            <w:shd w:val="clear" w:color="auto" w:fill="auto"/>
            <w:noWrap/>
            <w:vAlign w:val="center"/>
          </w:tcPr>
          <w:p w14:paraId="64FEEA2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7CCB70E">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0E52A411">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B3EF1D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3E806B37">
            <w:pPr>
              <w:widowControl/>
              <w:jc w:val="left"/>
              <w:rPr>
                <w:rFonts w:ascii="宋体" w:hAnsi="宋体" w:eastAsia="宋体" w:cs="宋体"/>
                <w:color w:val="auto"/>
                <w:kern w:val="0"/>
                <w:sz w:val="22"/>
              </w:rPr>
            </w:pPr>
            <w:r>
              <w:rPr>
                <w:rFonts w:hint="eastAsia" w:ascii="宋体" w:hAnsi="宋体" w:eastAsia="宋体" w:cs="宋体"/>
                <w:color w:val="auto"/>
                <w:kern w:val="0"/>
                <w:sz w:val="22"/>
              </w:rPr>
              <w:t>21#电梯</w:t>
            </w:r>
          </w:p>
        </w:tc>
        <w:tc>
          <w:tcPr>
            <w:tcW w:w="2200" w:type="dxa"/>
            <w:tcBorders>
              <w:top w:val="nil"/>
              <w:left w:val="nil"/>
              <w:bottom w:val="single" w:color="auto" w:sz="4" w:space="0"/>
              <w:right w:val="single" w:color="auto" w:sz="4" w:space="0"/>
            </w:tcBorders>
            <w:shd w:val="clear" w:color="auto" w:fill="auto"/>
            <w:noWrap/>
            <w:vAlign w:val="center"/>
          </w:tcPr>
          <w:p w14:paraId="74377C0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6B5E71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5D382A37">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6CF115F">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A35AE00">
            <w:pPr>
              <w:widowControl/>
              <w:jc w:val="left"/>
              <w:rPr>
                <w:rFonts w:ascii="宋体" w:hAnsi="宋体" w:eastAsia="宋体" w:cs="宋体"/>
                <w:color w:val="auto"/>
                <w:kern w:val="0"/>
                <w:sz w:val="22"/>
              </w:rPr>
            </w:pPr>
            <w:r>
              <w:rPr>
                <w:rFonts w:hint="eastAsia" w:ascii="宋体" w:hAnsi="宋体" w:eastAsia="宋体" w:cs="宋体"/>
                <w:color w:val="auto"/>
                <w:kern w:val="0"/>
                <w:sz w:val="22"/>
              </w:rPr>
              <w:t>22#电梯</w:t>
            </w:r>
          </w:p>
        </w:tc>
        <w:tc>
          <w:tcPr>
            <w:tcW w:w="2200" w:type="dxa"/>
            <w:tcBorders>
              <w:top w:val="nil"/>
              <w:left w:val="nil"/>
              <w:bottom w:val="single" w:color="auto" w:sz="4" w:space="0"/>
              <w:right w:val="single" w:color="auto" w:sz="4" w:space="0"/>
            </w:tcBorders>
            <w:shd w:val="clear" w:color="auto" w:fill="auto"/>
            <w:noWrap/>
            <w:vAlign w:val="center"/>
          </w:tcPr>
          <w:p w14:paraId="35BF324F">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1F9AD5C7">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6996F30A">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49077E0">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E631815">
            <w:pPr>
              <w:widowControl/>
              <w:jc w:val="left"/>
              <w:rPr>
                <w:rFonts w:ascii="宋体" w:hAnsi="宋体" w:eastAsia="宋体" w:cs="宋体"/>
                <w:color w:val="auto"/>
                <w:kern w:val="0"/>
                <w:sz w:val="22"/>
              </w:rPr>
            </w:pPr>
            <w:r>
              <w:rPr>
                <w:rFonts w:hint="eastAsia" w:ascii="宋体" w:hAnsi="宋体" w:eastAsia="宋体" w:cs="宋体"/>
                <w:color w:val="auto"/>
                <w:kern w:val="0"/>
                <w:sz w:val="22"/>
              </w:rPr>
              <w:t>22#电梯旁走火梯门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D2FA70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0D0ED4E7">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EA6863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39C5856">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70B82FD2">
            <w:pPr>
              <w:widowControl/>
              <w:jc w:val="left"/>
              <w:rPr>
                <w:rFonts w:ascii="宋体" w:hAnsi="宋体" w:eastAsia="宋体" w:cs="宋体"/>
                <w:color w:val="auto"/>
                <w:kern w:val="0"/>
                <w:sz w:val="22"/>
              </w:rPr>
            </w:pPr>
            <w:r>
              <w:rPr>
                <w:rFonts w:hint="eastAsia" w:ascii="宋体" w:hAnsi="宋体" w:eastAsia="宋体" w:cs="宋体"/>
                <w:color w:val="auto"/>
                <w:kern w:val="0"/>
                <w:sz w:val="22"/>
              </w:rPr>
              <w:t>23#电梯</w:t>
            </w:r>
          </w:p>
        </w:tc>
        <w:tc>
          <w:tcPr>
            <w:tcW w:w="2200" w:type="dxa"/>
            <w:tcBorders>
              <w:top w:val="nil"/>
              <w:left w:val="nil"/>
              <w:bottom w:val="single" w:color="auto" w:sz="4" w:space="0"/>
              <w:right w:val="single" w:color="auto" w:sz="4" w:space="0"/>
            </w:tcBorders>
            <w:shd w:val="clear" w:color="auto" w:fill="auto"/>
            <w:noWrap/>
            <w:vAlign w:val="center"/>
          </w:tcPr>
          <w:p w14:paraId="46F6D7FE">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0B41E0C">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BF620EE">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01571A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803B733">
            <w:pPr>
              <w:widowControl/>
              <w:jc w:val="left"/>
              <w:rPr>
                <w:rFonts w:ascii="宋体" w:hAnsi="宋体" w:eastAsia="宋体" w:cs="宋体"/>
                <w:color w:val="auto"/>
                <w:kern w:val="0"/>
                <w:sz w:val="22"/>
              </w:rPr>
            </w:pPr>
            <w:r>
              <w:rPr>
                <w:rFonts w:hint="eastAsia" w:ascii="宋体" w:hAnsi="宋体" w:eastAsia="宋体" w:cs="宋体"/>
                <w:color w:val="auto"/>
                <w:kern w:val="0"/>
                <w:sz w:val="22"/>
              </w:rPr>
              <w:t>24#电梯</w:t>
            </w:r>
          </w:p>
        </w:tc>
        <w:tc>
          <w:tcPr>
            <w:tcW w:w="2200" w:type="dxa"/>
            <w:tcBorders>
              <w:top w:val="nil"/>
              <w:left w:val="nil"/>
              <w:bottom w:val="single" w:color="auto" w:sz="4" w:space="0"/>
              <w:right w:val="single" w:color="auto" w:sz="4" w:space="0"/>
            </w:tcBorders>
            <w:shd w:val="clear" w:color="auto" w:fill="auto"/>
            <w:noWrap/>
            <w:vAlign w:val="center"/>
          </w:tcPr>
          <w:p w14:paraId="6DD69669">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B44E69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78C69AB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E73938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BBC3908">
            <w:pPr>
              <w:widowControl/>
              <w:jc w:val="left"/>
              <w:rPr>
                <w:rFonts w:ascii="宋体" w:hAnsi="宋体" w:eastAsia="宋体" w:cs="宋体"/>
                <w:color w:val="auto"/>
                <w:kern w:val="0"/>
                <w:sz w:val="22"/>
              </w:rPr>
            </w:pPr>
            <w:r>
              <w:rPr>
                <w:rFonts w:hint="eastAsia" w:ascii="宋体" w:hAnsi="宋体" w:eastAsia="宋体" w:cs="宋体"/>
                <w:color w:val="auto"/>
                <w:kern w:val="0"/>
                <w:sz w:val="22"/>
              </w:rPr>
              <w:t>24#电梯旁走火梯门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0A54853E">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C660836">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6085C2D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2B7F48D">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E7681B3">
            <w:pPr>
              <w:widowControl/>
              <w:jc w:val="left"/>
              <w:rPr>
                <w:rFonts w:ascii="宋体" w:hAnsi="宋体" w:eastAsia="宋体" w:cs="宋体"/>
                <w:color w:val="auto"/>
                <w:kern w:val="0"/>
                <w:sz w:val="22"/>
              </w:rPr>
            </w:pPr>
            <w:r>
              <w:rPr>
                <w:rFonts w:hint="eastAsia" w:ascii="宋体" w:hAnsi="宋体" w:eastAsia="宋体" w:cs="宋体"/>
                <w:color w:val="auto"/>
                <w:kern w:val="0"/>
                <w:sz w:val="22"/>
              </w:rPr>
              <w:t>25#电梯</w:t>
            </w:r>
          </w:p>
        </w:tc>
        <w:tc>
          <w:tcPr>
            <w:tcW w:w="2200" w:type="dxa"/>
            <w:tcBorders>
              <w:top w:val="nil"/>
              <w:left w:val="nil"/>
              <w:bottom w:val="single" w:color="auto" w:sz="4" w:space="0"/>
              <w:right w:val="single" w:color="auto" w:sz="4" w:space="0"/>
            </w:tcBorders>
            <w:shd w:val="clear" w:color="auto" w:fill="auto"/>
            <w:noWrap/>
            <w:vAlign w:val="center"/>
          </w:tcPr>
          <w:p w14:paraId="082C29C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1AAE6CC6">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0ED3ADC8">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8F3EFE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48A37A8">
            <w:pPr>
              <w:widowControl/>
              <w:jc w:val="left"/>
              <w:rPr>
                <w:rFonts w:ascii="宋体" w:hAnsi="宋体" w:eastAsia="宋体" w:cs="宋体"/>
                <w:color w:val="auto"/>
                <w:kern w:val="0"/>
                <w:sz w:val="22"/>
              </w:rPr>
            </w:pPr>
            <w:r>
              <w:rPr>
                <w:rFonts w:hint="eastAsia" w:ascii="宋体" w:hAnsi="宋体" w:eastAsia="宋体" w:cs="宋体"/>
                <w:color w:val="auto"/>
                <w:kern w:val="0"/>
                <w:sz w:val="22"/>
              </w:rPr>
              <w:t>26#电梯</w:t>
            </w:r>
          </w:p>
        </w:tc>
        <w:tc>
          <w:tcPr>
            <w:tcW w:w="2200" w:type="dxa"/>
            <w:tcBorders>
              <w:top w:val="nil"/>
              <w:left w:val="nil"/>
              <w:bottom w:val="single" w:color="auto" w:sz="4" w:space="0"/>
              <w:right w:val="single" w:color="auto" w:sz="4" w:space="0"/>
            </w:tcBorders>
            <w:shd w:val="clear" w:color="auto" w:fill="auto"/>
            <w:noWrap/>
            <w:vAlign w:val="center"/>
          </w:tcPr>
          <w:p w14:paraId="31B61EC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45824A01">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38402E63">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5FE265D1">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D9B0991">
            <w:pPr>
              <w:widowControl/>
              <w:jc w:val="left"/>
              <w:rPr>
                <w:rFonts w:ascii="宋体" w:hAnsi="宋体" w:eastAsia="宋体" w:cs="宋体"/>
                <w:color w:val="auto"/>
                <w:kern w:val="0"/>
                <w:sz w:val="22"/>
              </w:rPr>
            </w:pPr>
            <w:r>
              <w:rPr>
                <w:rFonts w:hint="eastAsia" w:ascii="宋体" w:hAnsi="宋体" w:eastAsia="宋体" w:cs="宋体"/>
                <w:color w:val="auto"/>
                <w:kern w:val="0"/>
                <w:sz w:val="22"/>
              </w:rPr>
              <w:t>27#电梯</w:t>
            </w:r>
          </w:p>
        </w:tc>
        <w:tc>
          <w:tcPr>
            <w:tcW w:w="2200" w:type="dxa"/>
            <w:tcBorders>
              <w:top w:val="nil"/>
              <w:left w:val="nil"/>
              <w:bottom w:val="single" w:color="auto" w:sz="4" w:space="0"/>
              <w:right w:val="single" w:color="auto" w:sz="4" w:space="0"/>
            </w:tcBorders>
            <w:shd w:val="clear" w:color="auto" w:fill="auto"/>
            <w:noWrap/>
            <w:vAlign w:val="center"/>
          </w:tcPr>
          <w:p w14:paraId="6320D1C6">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B57DB97">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1553A36">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AEF527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4F35470E">
            <w:pPr>
              <w:widowControl/>
              <w:jc w:val="left"/>
              <w:rPr>
                <w:rFonts w:ascii="宋体" w:hAnsi="宋体" w:eastAsia="宋体" w:cs="宋体"/>
                <w:color w:val="auto"/>
                <w:kern w:val="0"/>
                <w:sz w:val="22"/>
              </w:rPr>
            </w:pPr>
            <w:r>
              <w:rPr>
                <w:rFonts w:hint="eastAsia" w:ascii="宋体" w:hAnsi="宋体" w:eastAsia="宋体" w:cs="宋体"/>
                <w:color w:val="auto"/>
                <w:kern w:val="0"/>
                <w:sz w:val="22"/>
              </w:rPr>
              <w:t>27#电梯旁走火梯门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2E570799">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1ADB5DBA">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r w14:paraId="7D88DE4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263A613">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19ABD257">
            <w:pPr>
              <w:widowControl/>
              <w:jc w:val="left"/>
              <w:rPr>
                <w:rFonts w:ascii="宋体" w:hAnsi="宋体" w:eastAsia="宋体" w:cs="宋体"/>
                <w:color w:val="auto"/>
                <w:kern w:val="0"/>
                <w:sz w:val="22"/>
              </w:rPr>
            </w:pPr>
            <w:r>
              <w:rPr>
                <w:rFonts w:hint="eastAsia" w:ascii="宋体" w:hAnsi="宋体" w:eastAsia="宋体" w:cs="宋体"/>
                <w:color w:val="auto"/>
                <w:kern w:val="0"/>
                <w:sz w:val="22"/>
              </w:rPr>
              <w:t>28#电梯</w:t>
            </w:r>
          </w:p>
        </w:tc>
        <w:tc>
          <w:tcPr>
            <w:tcW w:w="2200" w:type="dxa"/>
            <w:tcBorders>
              <w:top w:val="nil"/>
              <w:left w:val="nil"/>
              <w:bottom w:val="single" w:color="auto" w:sz="4" w:space="0"/>
              <w:right w:val="single" w:color="auto" w:sz="4" w:space="0"/>
            </w:tcBorders>
            <w:shd w:val="clear" w:color="auto" w:fill="auto"/>
            <w:noWrap/>
            <w:vAlign w:val="center"/>
          </w:tcPr>
          <w:p w14:paraId="2C31875A">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6109691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50153C5">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46F9E6B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5E6E11C7">
            <w:pPr>
              <w:widowControl/>
              <w:jc w:val="left"/>
              <w:rPr>
                <w:rFonts w:ascii="宋体" w:hAnsi="宋体" w:eastAsia="宋体" w:cs="宋体"/>
                <w:color w:val="auto"/>
                <w:kern w:val="0"/>
                <w:sz w:val="22"/>
              </w:rPr>
            </w:pPr>
            <w:r>
              <w:rPr>
                <w:rFonts w:hint="eastAsia" w:ascii="宋体" w:hAnsi="宋体" w:eastAsia="宋体" w:cs="宋体"/>
                <w:color w:val="auto"/>
                <w:kern w:val="0"/>
                <w:sz w:val="22"/>
              </w:rPr>
              <w:t>29#电梯</w:t>
            </w:r>
          </w:p>
        </w:tc>
        <w:tc>
          <w:tcPr>
            <w:tcW w:w="2200" w:type="dxa"/>
            <w:tcBorders>
              <w:top w:val="nil"/>
              <w:left w:val="nil"/>
              <w:bottom w:val="single" w:color="auto" w:sz="4" w:space="0"/>
              <w:right w:val="single" w:color="auto" w:sz="4" w:space="0"/>
            </w:tcBorders>
            <w:shd w:val="clear" w:color="auto" w:fill="auto"/>
            <w:noWrap/>
            <w:vAlign w:val="center"/>
          </w:tcPr>
          <w:p w14:paraId="2E652E31">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w:t>
            </w:r>
          </w:p>
        </w:tc>
        <w:tc>
          <w:tcPr>
            <w:tcW w:w="1520" w:type="dxa"/>
            <w:tcBorders>
              <w:top w:val="nil"/>
              <w:left w:val="nil"/>
              <w:bottom w:val="single" w:color="auto" w:sz="4" w:space="0"/>
              <w:right w:val="single" w:color="auto" w:sz="4" w:space="0"/>
            </w:tcBorders>
            <w:shd w:val="clear" w:color="auto" w:fill="auto"/>
            <w:noWrap/>
            <w:vAlign w:val="center"/>
          </w:tcPr>
          <w:p w14:paraId="7FD790D2">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1B7F87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71B63614">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F30351E">
            <w:pPr>
              <w:widowControl/>
              <w:jc w:val="left"/>
              <w:rPr>
                <w:rFonts w:ascii="宋体" w:hAnsi="宋体" w:eastAsia="宋体" w:cs="宋体"/>
                <w:color w:val="auto"/>
                <w:kern w:val="0"/>
                <w:sz w:val="22"/>
              </w:rPr>
            </w:pPr>
            <w:r>
              <w:rPr>
                <w:rFonts w:hint="eastAsia" w:ascii="宋体" w:hAnsi="宋体" w:eastAsia="宋体" w:cs="宋体"/>
                <w:color w:val="auto"/>
                <w:kern w:val="0"/>
                <w:sz w:val="22"/>
              </w:rPr>
              <w:t>30#电梯</w:t>
            </w:r>
          </w:p>
        </w:tc>
        <w:tc>
          <w:tcPr>
            <w:tcW w:w="2200" w:type="dxa"/>
            <w:tcBorders>
              <w:top w:val="nil"/>
              <w:left w:val="nil"/>
              <w:bottom w:val="single" w:color="auto" w:sz="4" w:space="0"/>
              <w:right w:val="single" w:color="auto" w:sz="4" w:space="0"/>
            </w:tcBorders>
            <w:shd w:val="clear" w:color="auto" w:fill="auto"/>
            <w:noWrap/>
            <w:vAlign w:val="center"/>
          </w:tcPr>
          <w:p w14:paraId="554DE1B0">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578C2C5D">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27437C2">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3754BFC8">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5975550">
            <w:pPr>
              <w:widowControl/>
              <w:jc w:val="left"/>
              <w:rPr>
                <w:rFonts w:ascii="宋体" w:hAnsi="宋体" w:eastAsia="宋体" w:cs="宋体"/>
                <w:color w:val="auto"/>
                <w:kern w:val="0"/>
                <w:sz w:val="22"/>
              </w:rPr>
            </w:pPr>
            <w:r>
              <w:rPr>
                <w:rFonts w:hint="eastAsia" w:ascii="宋体" w:hAnsi="宋体" w:eastAsia="宋体" w:cs="宋体"/>
                <w:color w:val="auto"/>
                <w:kern w:val="0"/>
                <w:sz w:val="22"/>
              </w:rPr>
              <w:t>31#电梯</w:t>
            </w:r>
          </w:p>
        </w:tc>
        <w:tc>
          <w:tcPr>
            <w:tcW w:w="2200" w:type="dxa"/>
            <w:tcBorders>
              <w:top w:val="nil"/>
              <w:left w:val="nil"/>
              <w:bottom w:val="single" w:color="auto" w:sz="4" w:space="0"/>
              <w:right w:val="single" w:color="auto" w:sz="4" w:space="0"/>
            </w:tcBorders>
            <w:shd w:val="clear" w:color="auto" w:fill="auto"/>
            <w:noWrap/>
            <w:vAlign w:val="center"/>
          </w:tcPr>
          <w:p w14:paraId="3759E703">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3EAE215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42E3D53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FF5626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6BD0FB9A">
            <w:pPr>
              <w:widowControl/>
              <w:jc w:val="left"/>
              <w:rPr>
                <w:rFonts w:ascii="宋体" w:hAnsi="宋体" w:eastAsia="宋体" w:cs="宋体"/>
                <w:color w:val="auto"/>
                <w:kern w:val="0"/>
                <w:sz w:val="22"/>
              </w:rPr>
            </w:pPr>
            <w:r>
              <w:rPr>
                <w:rFonts w:hint="eastAsia" w:ascii="宋体" w:hAnsi="宋体" w:eastAsia="宋体" w:cs="宋体"/>
                <w:color w:val="auto"/>
                <w:kern w:val="0"/>
                <w:sz w:val="22"/>
              </w:rPr>
              <w:t>32#电梯</w:t>
            </w:r>
          </w:p>
        </w:tc>
        <w:tc>
          <w:tcPr>
            <w:tcW w:w="2200" w:type="dxa"/>
            <w:tcBorders>
              <w:top w:val="nil"/>
              <w:left w:val="nil"/>
              <w:bottom w:val="single" w:color="auto" w:sz="4" w:space="0"/>
              <w:right w:val="single" w:color="auto" w:sz="4" w:space="0"/>
            </w:tcBorders>
            <w:shd w:val="clear" w:color="auto" w:fill="auto"/>
            <w:noWrap/>
            <w:vAlign w:val="center"/>
          </w:tcPr>
          <w:p w14:paraId="6DED511D">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2E3D5653">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FA1B1F4">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11AE25B6">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5CA2D18">
            <w:pPr>
              <w:widowControl/>
              <w:jc w:val="left"/>
              <w:rPr>
                <w:rFonts w:ascii="宋体" w:hAnsi="宋体" w:eastAsia="宋体" w:cs="宋体"/>
                <w:color w:val="auto"/>
                <w:kern w:val="0"/>
                <w:sz w:val="22"/>
              </w:rPr>
            </w:pPr>
            <w:r>
              <w:rPr>
                <w:rFonts w:hint="eastAsia" w:ascii="宋体" w:hAnsi="宋体" w:eastAsia="宋体" w:cs="宋体"/>
                <w:color w:val="auto"/>
                <w:kern w:val="0"/>
                <w:sz w:val="22"/>
              </w:rPr>
              <w:t>33#电梯</w:t>
            </w:r>
          </w:p>
        </w:tc>
        <w:tc>
          <w:tcPr>
            <w:tcW w:w="2200" w:type="dxa"/>
            <w:tcBorders>
              <w:top w:val="nil"/>
              <w:left w:val="nil"/>
              <w:bottom w:val="single" w:color="auto" w:sz="4" w:space="0"/>
              <w:right w:val="single" w:color="auto" w:sz="4" w:space="0"/>
            </w:tcBorders>
            <w:shd w:val="clear" w:color="auto" w:fill="auto"/>
            <w:noWrap/>
            <w:vAlign w:val="center"/>
          </w:tcPr>
          <w:p w14:paraId="7FB6970F">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7717E9CA">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2E31E0E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6DF94D4A">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0C511E21">
            <w:pPr>
              <w:widowControl/>
              <w:jc w:val="left"/>
              <w:rPr>
                <w:rFonts w:ascii="宋体" w:hAnsi="宋体" w:eastAsia="宋体" w:cs="宋体"/>
                <w:color w:val="auto"/>
                <w:kern w:val="0"/>
                <w:sz w:val="22"/>
              </w:rPr>
            </w:pPr>
            <w:r>
              <w:rPr>
                <w:rFonts w:hint="eastAsia" w:ascii="宋体" w:hAnsi="宋体" w:eastAsia="宋体" w:cs="宋体"/>
                <w:color w:val="auto"/>
                <w:kern w:val="0"/>
                <w:sz w:val="22"/>
              </w:rPr>
              <w:t>34#电梯</w:t>
            </w:r>
          </w:p>
        </w:tc>
        <w:tc>
          <w:tcPr>
            <w:tcW w:w="2200" w:type="dxa"/>
            <w:tcBorders>
              <w:top w:val="nil"/>
              <w:left w:val="nil"/>
              <w:bottom w:val="single" w:color="auto" w:sz="4" w:space="0"/>
              <w:right w:val="single" w:color="auto" w:sz="4" w:space="0"/>
            </w:tcBorders>
            <w:shd w:val="clear" w:color="auto" w:fill="auto"/>
            <w:noWrap/>
            <w:vAlign w:val="center"/>
          </w:tcPr>
          <w:p w14:paraId="34035B9B">
            <w:pPr>
              <w:widowControl/>
              <w:jc w:val="center"/>
              <w:rPr>
                <w:rFonts w:ascii="宋体" w:hAnsi="宋体" w:eastAsia="宋体" w:cs="宋体"/>
                <w:color w:val="auto"/>
                <w:kern w:val="0"/>
                <w:sz w:val="22"/>
              </w:rPr>
            </w:pPr>
            <w:r>
              <w:rPr>
                <w:rFonts w:hint="eastAsia" w:ascii="宋体" w:hAnsi="宋体" w:eastAsia="宋体" w:cs="宋体"/>
                <w:color w:val="auto"/>
                <w:kern w:val="0"/>
                <w:sz w:val="22"/>
              </w:rPr>
              <w:t>上、下</w:t>
            </w:r>
          </w:p>
        </w:tc>
        <w:tc>
          <w:tcPr>
            <w:tcW w:w="1520" w:type="dxa"/>
            <w:tcBorders>
              <w:top w:val="nil"/>
              <w:left w:val="nil"/>
              <w:bottom w:val="single" w:color="auto" w:sz="4" w:space="0"/>
              <w:right w:val="single" w:color="auto" w:sz="4" w:space="0"/>
            </w:tcBorders>
            <w:shd w:val="clear" w:color="auto" w:fill="auto"/>
            <w:noWrap/>
            <w:vAlign w:val="center"/>
          </w:tcPr>
          <w:p w14:paraId="06186994">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14:paraId="138103BC">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65E3639">
            <w:pPr>
              <w:widowControl/>
              <w:jc w:val="left"/>
              <w:rPr>
                <w:rFonts w:ascii="宋体" w:hAnsi="宋体" w:eastAsia="宋体" w:cs="宋体"/>
                <w:b/>
                <w:bCs/>
                <w:color w:val="auto"/>
                <w:kern w:val="0"/>
                <w:sz w:val="22"/>
              </w:rPr>
            </w:pPr>
          </w:p>
        </w:tc>
        <w:tc>
          <w:tcPr>
            <w:tcW w:w="4100" w:type="dxa"/>
            <w:tcBorders>
              <w:top w:val="nil"/>
              <w:left w:val="nil"/>
              <w:bottom w:val="single" w:color="auto" w:sz="4" w:space="0"/>
              <w:right w:val="single" w:color="auto" w:sz="4" w:space="0"/>
            </w:tcBorders>
            <w:shd w:val="clear" w:color="auto" w:fill="auto"/>
            <w:noWrap/>
            <w:vAlign w:val="center"/>
          </w:tcPr>
          <w:p w14:paraId="2D5F3CB4">
            <w:pPr>
              <w:widowControl/>
              <w:jc w:val="left"/>
              <w:rPr>
                <w:rFonts w:ascii="宋体" w:hAnsi="宋体" w:eastAsia="宋体" w:cs="宋体"/>
                <w:color w:val="auto"/>
                <w:kern w:val="0"/>
                <w:sz w:val="22"/>
              </w:rPr>
            </w:pPr>
            <w:r>
              <w:rPr>
                <w:rFonts w:hint="eastAsia" w:ascii="宋体" w:hAnsi="宋体" w:eastAsia="宋体" w:cs="宋体"/>
                <w:color w:val="auto"/>
                <w:kern w:val="0"/>
                <w:sz w:val="22"/>
              </w:rPr>
              <w:t>34#电梯旁走火梯门</w:t>
            </w:r>
          </w:p>
        </w:tc>
        <w:tc>
          <w:tcPr>
            <w:tcW w:w="2200" w:type="dxa"/>
            <w:tcBorders>
              <w:top w:val="nil"/>
              <w:left w:val="nil"/>
              <w:bottom w:val="single" w:color="auto" w:sz="4" w:space="0"/>
              <w:right w:val="single" w:color="auto" w:sz="4" w:space="0"/>
            </w:tcBorders>
            <w:shd w:val="clear" w:color="auto" w:fill="auto"/>
            <w:noWrap/>
            <w:vAlign w:val="center"/>
          </w:tcPr>
          <w:p w14:paraId="67088A25">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48D941D5">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r>
    </w:tbl>
    <w:p w14:paraId="66F0D14D">
      <w:pPr>
        <w:pStyle w:val="4"/>
        <w:tabs>
          <w:tab w:val="left" w:pos="1395"/>
        </w:tabs>
        <w:spacing w:line="360" w:lineRule="auto"/>
        <w:ind w:firstLine="480"/>
        <w:outlineLvl w:val="1"/>
        <w:rPr>
          <w:rFonts w:ascii="仿宋_GB2312" w:eastAsia="仿宋_GB2312"/>
          <w:color w:val="auto"/>
          <w:sz w:val="24"/>
        </w:rPr>
      </w:pPr>
    </w:p>
    <w:p w14:paraId="3BB3DE94">
      <w:pPr>
        <w:pStyle w:val="5"/>
        <w:spacing w:line="360" w:lineRule="auto"/>
        <w:ind w:firstLine="562"/>
        <w:rPr>
          <w:rFonts w:hAnsi="宋体"/>
          <w:b/>
          <w:color w:val="auto"/>
          <w:sz w:val="28"/>
          <w:szCs w:val="28"/>
        </w:rPr>
      </w:pPr>
      <w:r>
        <w:rPr>
          <w:rFonts w:hint="eastAsia" w:hAnsi="宋体"/>
          <w:b/>
          <w:color w:val="auto"/>
          <w:sz w:val="28"/>
          <w:szCs w:val="28"/>
        </w:rPr>
        <w:t>四、项目需遵循的有关标准和规范</w:t>
      </w:r>
      <w:bookmarkEnd w:id="2"/>
      <w:bookmarkEnd w:id="3"/>
      <w:bookmarkEnd w:id="4"/>
      <w:bookmarkEnd w:id="5"/>
      <w:bookmarkEnd w:id="6"/>
      <w:r>
        <w:rPr>
          <w:rFonts w:hint="eastAsia" w:hAnsi="宋体"/>
          <w:b/>
          <w:color w:val="auto"/>
          <w:sz w:val="28"/>
          <w:szCs w:val="28"/>
        </w:rPr>
        <w:t>（包括但不限于）</w:t>
      </w:r>
    </w:p>
    <w:p w14:paraId="74790838">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除本谈判文件明确标出的技术要求外，各响应文件还必须满足下述文件、国家及行业有关标准规范的要求（如有矛盾，以最新的文件为准）。</w:t>
      </w:r>
    </w:p>
    <w:p w14:paraId="5E8F3F37">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（1）《商用建筑线缆标准》(EIA/TIA-569)</w:t>
      </w:r>
    </w:p>
    <w:p w14:paraId="60DF593D">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（2）《民用建筑电气设计规范（JGJ/T16-92）》</w:t>
      </w:r>
    </w:p>
    <w:p w14:paraId="1732D0C0">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（3）《电气装置安装工程施工及验收规范（GBJ23-90，92）》</w:t>
      </w:r>
    </w:p>
    <w:p w14:paraId="63450761">
      <w:pPr>
        <w:pStyle w:val="4"/>
        <w:spacing w:line="360" w:lineRule="auto"/>
        <w:ind w:firstLine="480" w:firstLineChars="200"/>
        <w:rPr>
          <w:rFonts w:ascii="仿宋_GB2312" w:hAnsi="宋体" w:eastAsia="仿宋_GB2312" w:cs="宋体"/>
          <w:color w:val="auto"/>
          <w:sz w:val="24"/>
        </w:rPr>
      </w:pPr>
      <w:r>
        <w:rPr>
          <w:rFonts w:hint="eastAsia" w:ascii="仿宋_GB2312" w:hAnsi="宋体" w:eastAsia="仿宋_GB2312" w:cs="宋体"/>
          <w:color w:val="auto"/>
          <w:sz w:val="24"/>
        </w:rPr>
        <w:t>（4）《安全防范工程程序与要求（GA/T75-94）》</w:t>
      </w:r>
    </w:p>
    <w:p w14:paraId="0BA59AA3">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（5）</w:t>
      </w:r>
      <w:r>
        <w:rPr>
          <w:rFonts w:hint="eastAsia" w:ascii="仿宋_GB2312" w:hAnsi="宋体" w:eastAsia="仿宋_GB2312"/>
          <w:color w:val="auto"/>
          <w:sz w:val="24"/>
        </w:rPr>
        <w:t>《智能建筑设计标准》GB/T50314-2006</w:t>
      </w:r>
    </w:p>
    <w:p w14:paraId="065BDA9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（6）</w:t>
      </w:r>
      <w:r>
        <w:rPr>
          <w:rFonts w:hint="eastAsia" w:ascii="仿宋_GB2312" w:hAnsi="宋体" w:eastAsia="仿宋_GB2312"/>
          <w:color w:val="auto"/>
          <w:sz w:val="24"/>
        </w:rPr>
        <w:t>《民用建筑设计通则》GB50352-2005</w:t>
      </w:r>
    </w:p>
    <w:p w14:paraId="64DDDD1F">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（7）</w:t>
      </w:r>
      <w:r>
        <w:rPr>
          <w:rFonts w:hint="eastAsia" w:ascii="仿宋_GB2312" w:hAnsi="宋体" w:eastAsia="仿宋_GB2312"/>
          <w:color w:val="auto"/>
          <w:sz w:val="24"/>
        </w:rPr>
        <w:t>《电力装置的继电保护和自动装置设计规范》GB50062-92</w:t>
      </w:r>
    </w:p>
    <w:p w14:paraId="102ECC6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（8）</w:t>
      </w:r>
      <w:r>
        <w:rPr>
          <w:rFonts w:hint="eastAsia" w:ascii="仿宋_GB2312" w:hAnsi="宋体" w:eastAsia="仿宋_GB2312"/>
          <w:color w:val="auto"/>
          <w:sz w:val="24"/>
        </w:rPr>
        <w:t>《建筑照明设计标准》GB50034-2004</w:t>
      </w:r>
    </w:p>
    <w:p w14:paraId="114B2E60">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（9）</w:t>
      </w:r>
      <w:r>
        <w:rPr>
          <w:rFonts w:hint="eastAsia" w:ascii="仿宋_GB2312" w:hAnsi="宋体" w:eastAsia="仿宋_GB2312"/>
          <w:color w:val="auto"/>
          <w:sz w:val="24"/>
        </w:rPr>
        <w:t>《高层民用建筑设计防火规范》GB50045-95（2005年版）</w:t>
      </w:r>
    </w:p>
    <w:p w14:paraId="6370594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（10）</w:t>
      </w:r>
      <w:r>
        <w:rPr>
          <w:rFonts w:hint="eastAsia" w:ascii="仿宋_GB2312" w:hAnsi="宋体" w:eastAsia="仿宋_GB2312"/>
          <w:color w:val="auto"/>
          <w:sz w:val="24"/>
        </w:rPr>
        <w:t>《建筑与建筑群综合布线工程设计规范》GB/T50311-2000</w:t>
      </w:r>
    </w:p>
    <w:p w14:paraId="1051AB1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（11）</w:t>
      </w:r>
      <w:r>
        <w:rPr>
          <w:rFonts w:hint="eastAsia" w:ascii="仿宋_GB2312" w:hAnsi="宋体" w:eastAsia="仿宋_GB2312"/>
          <w:color w:val="auto"/>
          <w:sz w:val="24"/>
        </w:rPr>
        <w:t>《民用闭路监视系统工程技术规范》GB50198-94</w:t>
      </w:r>
    </w:p>
    <w:p w14:paraId="5A2F096E">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（12）</w:t>
      </w:r>
      <w:r>
        <w:rPr>
          <w:rFonts w:hint="eastAsia" w:ascii="仿宋_GB2312" w:hAnsi="宋体" w:eastAsia="仿宋_GB2312"/>
          <w:color w:val="auto"/>
          <w:sz w:val="24"/>
        </w:rPr>
        <w:t>《视频安防监控系统技术要求》GA/T367-2001</w:t>
      </w:r>
    </w:p>
    <w:p w14:paraId="1A28AEB2">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（13）</w:t>
      </w:r>
      <w:r>
        <w:rPr>
          <w:rFonts w:hint="eastAsia" w:ascii="仿宋_GB2312" w:hAnsi="宋体" w:eastAsia="仿宋_GB2312"/>
          <w:color w:val="auto"/>
          <w:sz w:val="24"/>
        </w:rPr>
        <w:t>《火灾自动报警系统设计规范》GB500116-98</w:t>
      </w:r>
    </w:p>
    <w:p w14:paraId="7757EA9B">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（14）</w:t>
      </w:r>
      <w:r>
        <w:rPr>
          <w:rFonts w:hint="eastAsia" w:ascii="仿宋_GB2312" w:hAnsi="宋体" w:eastAsia="仿宋_GB2312"/>
          <w:color w:val="auto"/>
          <w:sz w:val="24"/>
        </w:rPr>
        <w:t>《公共安全工程技术规范》GB50348-2004</w:t>
      </w:r>
    </w:p>
    <w:p w14:paraId="01A2EBD6">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（15）</w:t>
      </w:r>
      <w:r>
        <w:rPr>
          <w:rFonts w:hint="eastAsia" w:ascii="仿宋_GB2312" w:hAnsi="宋体" w:eastAsia="仿宋_GB2312"/>
          <w:color w:val="auto"/>
          <w:sz w:val="24"/>
        </w:rPr>
        <w:t>《电子计算机房设计规范》GB50174-93</w:t>
      </w:r>
    </w:p>
    <w:p w14:paraId="4A6F1C61">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（16）</w:t>
      </w:r>
      <w:r>
        <w:rPr>
          <w:rFonts w:hint="eastAsia" w:ascii="仿宋_GB2312" w:hAnsi="宋体" w:eastAsia="仿宋_GB2312"/>
          <w:color w:val="auto"/>
          <w:sz w:val="24"/>
        </w:rPr>
        <w:t>《建筑物防雷设计规范》GB50057-94（2000年版）</w:t>
      </w:r>
    </w:p>
    <w:p w14:paraId="5AC0D4B1">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（17）</w:t>
      </w:r>
      <w:r>
        <w:rPr>
          <w:rFonts w:hint="eastAsia" w:ascii="仿宋_GB2312" w:hAnsi="宋体" w:eastAsia="仿宋_GB2312"/>
          <w:color w:val="auto"/>
          <w:sz w:val="24"/>
        </w:rPr>
        <w:t>《建筑物电子信息系统防雷技术规范》GB50343-2004</w:t>
      </w:r>
    </w:p>
    <w:p w14:paraId="62E0AC69">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（18）</w:t>
      </w:r>
      <w:r>
        <w:rPr>
          <w:rFonts w:hint="eastAsia" w:ascii="仿宋_GB2312" w:hAnsi="宋体" w:eastAsia="仿宋_GB2312"/>
          <w:color w:val="auto"/>
          <w:sz w:val="24"/>
        </w:rPr>
        <w:t>《工业与民用电力装置的接地设计规范》GBJ65-83</w:t>
      </w:r>
    </w:p>
    <w:p w14:paraId="0505B369">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（19）</w:t>
      </w:r>
      <w:r>
        <w:rPr>
          <w:rFonts w:hint="eastAsia" w:ascii="仿宋_GB2312" w:hAnsi="宋体" w:eastAsia="仿宋_GB2312"/>
          <w:color w:val="auto"/>
          <w:sz w:val="24"/>
        </w:rPr>
        <w:t>《国际综合布线标准》   ISO/IEC11801</w:t>
      </w:r>
    </w:p>
    <w:p w14:paraId="7CAFECFF">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（20）</w:t>
      </w:r>
      <w:r>
        <w:rPr>
          <w:rFonts w:hint="eastAsia" w:ascii="仿宋_GB2312" w:hAnsi="宋体" w:eastAsia="仿宋_GB2312"/>
          <w:color w:val="auto"/>
          <w:sz w:val="24"/>
        </w:rPr>
        <w:t>《民用建筑电气设计规范》JGJ/T 16-92</w:t>
      </w:r>
    </w:p>
    <w:p w14:paraId="5BF5A775">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（21）</w:t>
      </w:r>
      <w:r>
        <w:rPr>
          <w:rFonts w:hint="eastAsia" w:ascii="仿宋_GB2312" w:hAnsi="宋体" w:eastAsia="仿宋_GB2312"/>
          <w:color w:val="auto"/>
          <w:sz w:val="24"/>
        </w:rPr>
        <w:t>《中华人民共和国安全防范行业标准》 GA/T74-94</w:t>
      </w:r>
    </w:p>
    <w:p w14:paraId="6BB6EB14">
      <w:pPr>
        <w:pStyle w:val="4"/>
        <w:spacing w:line="360" w:lineRule="auto"/>
        <w:ind w:firstLine="480" w:firstLineChars="200"/>
        <w:rPr>
          <w:rFonts w:ascii="仿宋_GB2312" w:hAnsi="宋体" w:eastAsia="仿宋_GB2312"/>
          <w:color w:val="auto"/>
          <w:sz w:val="24"/>
        </w:rPr>
      </w:pPr>
      <w:r>
        <w:rPr>
          <w:rFonts w:hint="eastAsia" w:ascii="仿宋_GB2312" w:hAnsi="宋体" w:eastAsia="仿宋_GB2312" w:cs="宋体"/>
          <w:color w:val="auto"/>
          <w:sz w:val="24"/>
        </w:rPr>
        <w:t>（22）</w:t>
      </w:r>
      <w:r>
        <w:rPr>
          <w:rFonts w:hint="eastAsia" w:ascii="仿宋_GB2312" w:hAnsi="宋体" w:eastAsia="仿宋_GB2312"/>
          <w:color w:val="auto"/>
          <w:sz w:val="24"/>
        </w:rPr>
        <w:t>《中华人民共和国公共安全行业标准》 GA/T70-94</w:t>
      </w:r>
    </w:p>
    <w:p w14:paraId="1FD5598E">
      <w:pPr>
        <w:pStyle w:val="5"/>
        <w:spacing w:line="360" w:lineRule="auto"/>
        <w:ind w:firstLine="562"/>
        <w:rPr>
          <w:rFonts w:hAnsi="宋体"/>
          <w:b/>
          <w:color w:val="auto"/>
          <w:sz w:val="28"/>
          <w:szCs w:val="28"/>
        </w:rPr>
      </w:pPr>
      <w:bookmarkStart w:id="7" w:name="_Toc353887059"/>
      <w:bookmarkStart w:id="8" w:name="_Toc358239242"/>
      <w:bookmarkStart w:id="9" w:name="_Toc359310478"/>
      <w:bookmarkStart w:id="10" w:name="_Toc357022687"/>
      <w:bookmarkStart w:id="11" w:name="_Toc235872234"/>
      <w:r>
        <w:rPr>
          <w:rFonts w:hint="eastAsia" w:hAnsi="宋体"/>
          <w:b/>
          <w:color w:val="auto"/>
          <w:sz w:val="28"/>
          <w:szCs w:val="28"/>
        </w:rPr>
        <w:t>五、</w:t>
      </w:r>
      <w:bookmarkEnd w:id="7"/>
      <w:bookmarkEnd w:id="8"/>
      <w:bookmarkEnd w:id="9"/>
      <w:bookmarkEnd w:id="10"/>
      <w:bookmarkEnd w:id="11"/>
      <w:r>
        <w:rPr>
          <w:rFonts w:hint="eastAsia" w:hAnsi="宋体"/>
          <w:b/>
          <w:color w:val="auto"/>
          <w:sz w:val="28"/>
          <w:szCs w:val="28"/>
        </w:rPr>
        <w:t>项目技术要求（供应商应承诺的内容）</w:t>
      </w:r>
    </w:p>
    <w:p w14:paraId="4FC339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（一）门禁系统技术要求</w:t>
      </w:r>
    </w:p>
    <w:p w14:paraId="04BECC83">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1、根据医院实际情况，门禁系统需满足以下需求：</w:t>
      </w:r>
    </w:p>
    <w:p w14:paraId="143AC0B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本项目的建设内容如下：</w:t>
      </w:r>
    </w:p>
    <w:p w14:paraId="5F89382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(1)门禁系统：需对负一楼停车场进行门禁系统建设，门禁点主要布设在每个电梯口、走火通道防火门。具体位置详见《主要门禁刷卡控制部位清单列表》，产品规格要求详见《主要设备及软件技术要求》。</w:t>
      </w:r>
    </w:p>
    <w:p w14:paraId="24950D4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(2)门控管理平台：通过门控平台将所有门的开闭合状态进行可视化监控，方便管理人员实时了解各门的状态。产品规格要求详见《主要设备及软件技术要求》。</w:t>
      </w:r>
    </w:p>
    <w:p w14:paraId="65C4BEC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(3)网络系统：网络交换，在线式网络门禁系统，集中联网、联网至监控中心电脑统一管理。</w:t>
      </w:r>
    </w:p>
    <w:p w14:paraId="0C80450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(4)门锁及呼梯主控：实现监控中心对前端所有门禁统一控制，监控中心可根据前端现场情况便捷实现控制前端所有门断电开启与电梯刷卡受控功能的取消（即监控中心控制前端电梯按钮不受刷卡控制）。</w:t>
      </w:r>
    </w:p>
    <w:p w14:paraId="13464A5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(5)IC卡：能充分利用医院现有饭卡、门禁卡、身份证等卡，进行门禁系统管理。</w:t>
      </w:r>
    </w:p>
    <w:p w14:paraId="74D06B1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(6)发卡中心：支持监控中心现有软件平台进行发卡及管理。</w:t>
      </w:r>
    </w:p>
    <w:p w14:paraId="0AD50AB6">
      <w:pPr>
        <w:pStyle w:val="5"/>
        <w:spacing w:line="360" w:lineRule="auto"/>
        <w:ind w:firstLine="562"/>
        <w:rPr>
          <w:rFonts w:ascii="仿宋_GB2312" w:hAnsi="宋体" w:eastAsia="仿宋_GB2312"/>
          <w:b/>
          <w:color w:val="auto"/>
          <w:sz w:val="24"/>
        </w:rPr>
      </w:pPr>
      <w:r>
        <w:rPr>
          <w:rFonts w:hint="eastAsia" w:hAnsi="宋体"/>
          <w:b/>
          <w:color w:val="auto"/>
          <w:sz w:val="28"/>
          <w:szCs w:val="28"/>
        </w:rPr>
        <w:t>六、主要设备及软件技术要求</w:t>
      </w:r>
    </w:p>
    <w:p w14:paraId="5ED24A91">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（一）门禁控制器技术指标要求</w:t>
      </w:r>
    </w:p>
    <w:p w14:paraId="63C10AE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1、用户数量：支持2.6万持卡人，可扩展到最多可扩展到10万；</w:t>
      </w:r>
    </w:p>
    <w:p w14:paraId="4CBC827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2、历史记录：可存储10万条事件记录；</w:t>
      </w:r>
    </w:p>
    <w:p w14:paraId="4B96C18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3、通讯方式：TCP/IP通讯，支持跨网段功能；</w:t>
      </w:r>
    </w:p>
    <w:p w14:paraId="2137453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4、控制门数量：可控制2个门；</w:t>
      </w:r>
    </w:p>
    <w:p w14:paraId="3FE2156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5、读卡器接口：可外接4个Wiegand26/34协议的终端；</w:t>
      </w:r>
    </w:p>
    <w:p w14:paraId="70C199B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6、读卡器接口：：Wiegand26/34，兼容HID读卡协议；</w:t>
      </w:r>
    </w:p>
    <w:p w14:paraId="3F52ED7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7、读卡器类型：支持接入任何Wiegand26/34协议的设备，如：IC\ID读卡器、指纹识别仪、人脸识别仪、红膜识别仪等；</w:t>
      </w:r>
    </w:p>
    <w:p w14:paraId="5E803E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8、防雷级别：网络端口：1KV/0.5KA（8/20us混合波）；</w:t>
      </w:r>
    </w:p>
    <w:p w14:paraId="288B5DA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9、设备内置看门狗，确保设备正常运行不出现死机情况；</w:t>
      </w:r>
    </w:p>
    <w:p w14:paraId="01961DE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10、快速响应速度，在已存储10万张卡的基础上刷卡响应时间＜0.2s；</w:t>
      </w:r>
    </w:p>
    <w:p w14:paraId="7870866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11、全端口过流、过压、防雷、防浪涌、防反接、防错接、防静电、防尘保护；</w:t>
      </w:r>
    </w:p>
    <w:p w14:paraId="548A5D9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12、★支持软件自动搜索安装功能，减轻设备安装前繁琐的准备工作；</w:t>
      </w:r>
    </w:p>
    <w:p w14:paraId="51031DF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13、支持卡片数据提回功能，便于因硬盘损坏后能从终端设备提回人员数据；</w:t>
      </w:r>
    </w:p>
    <w:p w14:paraId="4B8F04C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14、★支持人员的刷卡有效期和刷卡次数限制功能；</w:t>
      </w:r>
    </w:p>
    <w:p w14:paraId="3C71086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15、支持硬件布防撤防功能，可与门磁、对射等事件触发产品联动后报警。并可通过按键读头自由切换布防，撤防状态；</w:t>
      </w:r>
    </w:p>
    <w:p w14:paraId="46868B9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16、★主板具备温度及电压实时监测，便于维护人员维护；</w:t>
      </w:r>
    </w:p>
    <w:p w14:paraId="43B7E41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17、★支持读卡防探测锁定功能，确保防止利用模拟各种卡号来探测门禁，实现破戒开门；</w:t>
      </w:r>
    </w:p>
    <w:p w14:paraId="3323D1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18、支持外接烟感、火警、匪警信号输入与联动输出；</w:t>
      </w:r>
    </w:p>
    <w:p w14:paraId="074CE11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19、可外接语音设备，刷卡语音播报事件功能。</w:t>
      </w:r>
    </w:p>
    <w:p w14:paraId="6AD99A7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20、控制器支持继电器常开、常闭、双稳态（刷卡开、刷卡关）三种工作模式；</w:t>
      </w:r>
    </w:p>
    <w:p w14:paraId="6F9ED73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21、支持对开门按钮设置开门时段，上班时间可以按出门开关出门，下班后出门开关自动无效，需要读卡才可以开门；</w:t>
      </w:r>
    </w:p>
    <w:p w14:paraId="1FDCA91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22、控制器支持控制板内返潜回、A\B门、首卡开门、内外确认开门功能；</w:t>
      </w:r>
    </w:p>
    <w:p w14:paraId="18B29FA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23、控制器支全卡开门功能，未注册卡开门并同时保存授权；</w:t>
      </w:r>
    </w:p>
    <w:p w14:paraId="413964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24、★控制器支持门内人数限制功能，当刷卡人数大于设置上限时，则不允许开门或开闸；</w:t>
      </w:r>
    </w:p>
    <w:p w14:paraId="517A23B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25、控制器支持卡片到期提示功能，卡片过期前，读卡开门时会提醒卡片即将过期；</w:t>
      </w:r>
    </w:p>
    <w:p w14:paraId="7473F95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26、控制器支持能过外接的键盘读卡器进行卡片授权功能；</w:t>
      </w:r>
    </w:p>
    <w:p w14:paraId="4FA272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27、控制器支持未注册卡报警、黑名单报警功能，并可通过软件通知管理者；</w:t>
      </w:r>
    </w:p>
    <w:p w14:paraId="1F1B325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28、★</w:t>
      </w:r>
      <w:r>
        <w:rPr>
          <w:rFonts w:hint="eastAsia" w:ascii="仿宋_GB2312" w:hAnsi="宋体" w:eastAsia="仿宋_GB2312"/>
          <w:color w:val="auto"/>
          <w:sz w:val="24"/>
          <w:lang w:eastAsia="zh-CN"/>
        </w:rPr>
        <w:t>提供</w:t>
      </w:r>
      <w:r>
        <w:rPr>
          <w:rFonts w:hint="eastAsia" w:ascii="仿宋_GB2312" w:hAnsi="宋体" w:eastAsia="仿宋_GB2312"/>
          <w:color w:val="auto"/>
          <w:sz w:val="24"/>
        </w:rPr>
        <w:t>同型号或同系列产品的检测报告</w:t>
      </w:r>
    </w:p>
    <w:p w14:paraId="7DEE7B86">
      <w:pPr>
        <w:pStyle w:val="5"/>
        <w:spacing w:line="360" w:lineRule="auto"/>
        <w:ind w:firstLine="0" w:firstLineChars="0"/>
        <w:rPr>
          <w:rFonts w:ascii="仿宋_GB2312" w:hAnsi="宋体" w:eastAsia="仿宋_GB2312"/>
          <w:color w:val="auto"/>
          <w:sz w:val="24"/>
        </w:rPr>
      </w:pPr>
    </w:p>
    <w:p w14:paraId="60A45836">
      <w:pPr>
        <w:pStyle w:val="5"/>
        <w:spacing w:line="360" w:lineRule="auto"/>
        <w:ind w:firstLine="0" w:firstLineChars="0"/>
        <w:rPr>
          <w:rFonts w:ascii="仿宋_GB2312" w:hAnsi="宋体" w:eastAsia="仿宋_GB2312"/>
          <w:b/>
          <w:color w:val="auto"/>
          <w:sz w:val="24"/>
        </w:rPr>
      </w:pPr>
      <w:r>
        <w:rPr>
          <w:rFonts w:hint="eastAsia" w:ascii="仿宋_GB2312" w:hAnsi="宋体" w:eastAsia="仿宋_GB2312"/>
          <w:b/>
          <w:color w:val="auto"/>
          <w:sz w:val="24"/>
        </w:rPr>
        <w:t>（二）读卡器技术指标要求：</w:t>
      </w:r>
    </w:p>
    <w:p w14:paraId="644275D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1、读卡器面板要配备有状态指示灯，在无效卡或有效卡刷卡时，在声音与指示灯上由明显区别。当出现门开启时间过长或其他报警时，读卡器须产生报警提示音。</w:t>
      </w:r>
    </w:p>
    <w:p w14:paraId="1F6CF5E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2、工作频率：13.56MHz非接触式智能卡技术。</w:t>
      </w:r>
    </w:p>
    <w:p w14:paraId="6C4D4D8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 xml:space="preserve">3、★支持卡类：Mifare 1，CPU卡，二代身份证、居住证、银行IC芯片卡。 </w:t>
      </w:r>
    </w:p>
    <w:p w14:paraId="20DA99E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4、读卡模式:智能卡物理卡号；</w:t>
      </w:r>
    </w:p>
    <w:p w14:paraId="7D69C5E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5、支持防拆报警功能。</w:t>
      </w:r>
    </w:p>
    <w:p w14:paraId="651642B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6、★环氧树脂材料封装，符合IP65，防水。</w:t>
      </w:r>
    </w:p>
    <w:p w14:paraId="10BA472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7、异常卡报警：读到异常卡时，读卡模块返回报警信号到管理中心。</w:t>
      </w:r>
    </w:p>
    <w:p w14:paraId="47D1AE1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8、★读卡器输出格式：支持Wiegand26，34。</w:t>
      </w:r>
    </w:p>
    <w:p w14:paraId="13A1CB5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9、读感距离：1～5cm。</w:t>
      </w:r>
    </w:p>
    <w:p w14:paraId="3A45BB6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w:t>
      </w:r>
      <w:r>
        <w:rPr>
          <w:rFonts w:hint="eastAsia" w:ascii="仿宋_GB2312" w:hAnsi="宋体" w:eastAsia="仿宋_GB2312"/>
          <w:color w:val="auto"/>
          <w:sz w:val="24"/>
          <w:lang w:eastAsia="zh-CN"/>
        </w:rPr>
        <w:t>提供</w:t>
      </w:r>
      <w:r>
        <w:rPr>
          <w:rFonts w:hint="eastAsia" w:ascii="仿宋_GB2312" w:hAnsi="宋体" w:eastAsia="仿宋_GB2312"/>
          <w:color w:val="auto"/>
          <w:sz w:val="24"/>
        </w:rPr>
        <w:t>检测报告</w:t>
      </w:r>
    </w:p>
    <w:p w14:paraId="6A23791A">
      <w:pPr>
        <w:pStyle w:val="5"/>
        <w:spacing w:line="360" w:lineRule="auto"/>
        <w:ind w:firstLine="480"/>
        <w:rPr>
          <w:rFonts w:ascii="仿宋_GB2312" w:hAnsi="宋体" w:eastAsia="仿宋_GB2312"/>
          <w:color w:val="auto"/>
          <w:sz w:val="24"/>
        </w:rPr>
      </w:pPr>
    </w:p>
    <w:p w14:paraId="775545C1">
      <w:pPr>
        <w:pStyle w:val="5"/>
        <w:spacing w:line="360" w:lineRule="auto"/>
        <w:ind w:firstLine="482"/>
        <w:rPr>
          <w:rFonts w:ascii="仿宋_GB2312" w:hAnsi="宋体" w:eastAsia="仿宋_GB2312"/>
          <w:b/>
          <w:color w:val="auto"/>
          <w:sz w:val="24"/>
        </w:rPr>
      </w:pPr>
      <w:r>
        <w:rPr>
          <w:rFonts w:hint="eastAsia" w:ascii="仿宋_GB2312" w:hAnsi="宋体" w:eastAsia="仿宋_GB2312"/>
          <w:b/>
          <w:color w:val="auto"/>
          <w:sz w:val="24"/>
        </w:rPr>
        <w:t>（三）门禁系统软件技术指标要求</w:t>
      </w:r>
    </w:p>
    <w:p w14:paraId="20C115C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1、软件支持B/S、C/S 架构 Microsoft. ACCESS及Microsoft. SQL Server数据库；</w:t>
      </w:r>
    </w:p>
    <w:p w14:paraId="3D9F578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2、软件系统中包含门禁功能，在线巡更功能、会议签到功能、电梯门禁功能、考勤功能，便于以后满足日常需求；</w:t>
      </w:r>
    </w:p>
    <w:p w14:paraId="7D79C83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3、软件支持自动搜索、添加设备，便于批量设备安装，节约时间；</w:t>
      </w:r>
    </w:p>
    <w:p w14:paraId="1735368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4、软件支持定时提取门禁记录及自动上传门禁数据；</w:t>
      </w:r>
    </w:p>
    <w:p w14:paraId="158FBE7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5、软件具备数据监控功能，数据监控下软件支持语音播、实时显示当前人员信息、照片、事件状态等；</w:t>
      </w:r>
    </w:p>
    <w:p w14:paraId="0AE1140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6、软件支持远程开门功能；</w:t>
      </w:r>
    </w:p>
    <w:p w14:paraId="4021F4F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7、软件支持门绑定摄像机功能，每个区分进门和出门，可绑定2个摄像机；</w:t>
      </w:r>
    </w:p>
    <w:p w14:paraId="17F92A4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8、软件支持电子地图功能，可显示门的状态（开、关）、抓拍现场图片及录像功能；</w:t>
      </w:r>
    </w:p>
    <w:p w14:paraId="4787C80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9、软件支持人员定位功能，在快速查到人员最近一次的刷卡地点；</w:t>
      </w:r>
    </w:p>
    <w:p w14:paraId="4D7A49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10、软件支持外接LED屏，并与指定门禁控制器绑定，显示刷卡事件信息；</w:t>
      </w:r>
    </w:p>
    <w:p w14:paraId="69EF4D9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11、软件支持指定控制器用来考勤、巡更、会议签到功能；</w:t>
      </w:r>
    </w:p>
    <w:p w14:paraId="07360C9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12、软件支持设置考勤班次、自动排班、排班表、节假日、请假、出差、刷卡明细、考勤报表功能；</w:t>
      </w:r>
    </w:p>
    <w:p w14:paraId="5D6DFE6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13、软件支持设置巡更路线、巡更人员、巡更计划、巡更签到、巡更地图、巡更报表功能；</w:t>
      </w:r>
    </w:p>
    <w:p w14:paraId="755D89E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14、软件支持会议室管理、会议管理、实时签到、统计报表功能</w:t>
      </w:r>
    </w:p>
    <w:p w14:paraId="2BAC187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15、★软件具备计算机软件著作权登记证书</w:t>
      </w:r>
    </w:p>
    <w:p w14:paraId="1165158F">
      <w:pPr>
        <w:rPr>
          <w:color w:val="auto"/>
        </w:rPr>
      </w:pPr>
    </w:p>
    <w:p w14:paraId="2257FAA4">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.1人员基本信息管理</w:t>
      </w:r>
    </w:p>
    <w:p w14:paraId="339F98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系统可提供丰富的人事资料管理功能，管理单位、个人（用户）信息、用户组的资料。提供单位信息修改功能。提供用户组信息的增加、删除和修改功能。提供用户新增、修改、注销、查询功能。提供部门、角色及角色权限和操作员等信息增加、删除、修改功能。人员信息需至少包含姓名、性别，所在单位，身份证号，联系方式、等个人信息，要求能进行数据实时同步。</w:t>
      </w:r>
    </w:p>
    <w:p w14:paraId="7F0D5AE9">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.2卡务管理功能</w:t>
      </w:r>
    </w:p>
    <w:p w14:paraId="09B9761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1、系统支持对IC卡片的入库、发放、报损、挂失、解挂以及回收等日常卡片管理。同时系统支持批量IC卡的发放,也适用于个别的卡片销户操作。</w:t>
      </w:r>
    </w:p>
    <w:p w14:paraId="5336EEF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2、系统支持加密采用“一卡一密”方式对卡片进行加密设备，防止卡片复制。</w:t>
      </w:r>
    </w:p>
    <w:p w14:paraId="43233BC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系统本身应具有临时访客系统及功能，对于外来访客人员，在登记核实身份后发临时IC卡，使得该访客持卡在相应的权限约束下在门禁内使用。其中包括对卡的使用时间延期管理，对于卡的使用权限，修改服务，修改权限进行更改。临时IC卡均由临时卡发卡器授权发行，且记录。</w:t>
      </w:r>
    </w:p>
    <w:p w14:paraId="733A93FA">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.3门禁通道管理</w:t>
      </w:r>
    </w:p>
    <w:p w14:paraId="5B3924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1、人员进出安全检查记录。持有有效验证方式卡，通过住院部通道闸机，刷卡通行，并亮起允许通行灯；如遇非法卡或失效卡则发出声光报警禁止通行。</w:t>
      </w:r>
    </w:p>
    <w:p w14:paraId="75A645F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2、能自动验证人员的进出权限，记录出入人员的基本信息和时间信息，包括开门的日期、时间、卡号、姓名等持卡人出入信息。</w:t>
      </w:r>
    </w:p>
    <w:p w14:paraId="0E4709B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3、系统应支持黑白名单管理功能，对于黑名单人员刷卡时应禁止进入并发出声光报警；对于非探视时间，可设置探视人员白名单，只有在白名单内的人员才能通行。</w:t>
      </w:r>
    </w:p>
    <w:p w14:paraId="079B9BE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4、能通过系统控制开关道闸、定时开关通道闸：管理员可实现远程控制开关通道闸、定时开关道闸、刷卡开闸等多种通道门禁开闸方式。持卡者进出通道刷卡，系统根据不同情况，有卡感应声音。</w:t>
      </w:r>
    </w:p>
    <w:p w14:paraId="2DC9802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5、电子地图：可以对应建筑平面图和通道门禁安装的实际位置设置通道门禁点，对各控制点进行直接的开/闭控制、监视，如对门开关状态的监视等。</w:t>
      </w:r>
    </w:p>
    <w:p w14:paraId="46182C7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6、身份甄别</w:t>
      </w:r>
    </w:p>
    <w:p w14:paraId="6D429E7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门禁系统使用医院现有的饭卡进行身份识别。入住住院部的病人持饭卡在闸机上刷卡后，方能进出；系统支持同时识别一张卡，每次能通过一人。</w:t>
      </w:r>
    </w:p>
    <w:p w14:paraId="51DA60D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8、一键开闸和高峰放行</w:t>
      </w:r>
    </w:p>
    <w:p w14:paraId="1DF0F90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出现突发事件，如火灾、地震等意外时，通过系统自动、人工控制按钮、消防系统联动等方式，可以使全部闸机通道立即开启，让人员可以迅速疏散至楼外。当供电系统意外断电时，闸机通道应自动处于开启位置，供电恢复后，闸机通道自动复原。对于人员出入高峰期，可实行通道放行刷卡方式。</w:t>
      </w:r>
    </w:p>
    <w:p w14:paraId="48E884CE">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.4系统管理</w:t>
      </w:r>
    </w:p>
    <w:p w14:paraId="2F6368E7">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1、权限管理：可建立不同级别的系统操作员，并设置口令、权限，便于系统的管理和维护，各个操作员只能根据自己的权限进行系统操作、管理。可按用户、组、角色方式授权。</w:t>
      </w:r>
    </w:p>
    <w:p w14:paraId="2166DCA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系统能方便的提供设置按门、按时间、按人员设置有效开门区域、有效开门时段的权限。可对人员进行权限分级管理，包括出入住院楼的权限，限定出入时间。刷卡识别验证可分别设置有效时段和管控区域。</w:t>
      </w:r>
    </w:p>
    <w:p w14:paraId="499E1DF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2、事件管理：系统对操作员事件、门禁控制器配置事件以及各类故障事件等进行管理，可查询。</w:t>
      </w:r>
    </w:p>
    <w:p w14:paraId="48B16AC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3、日志管理：系统内操作都应生成日志，记录操作人的相关行为，只有管理员授权人员才可以查看，不能删除日志，需保留至少3个月记录流水，可导出日志信息便于查看。</w:t>
      </w:r>
    </w:p>
    <w:p w14:paraId="366B43A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4、报表管理：系统具有自定义报表系统，用户可根据实际情况自己设计报表，或对已设计好的报表进行调整，可定制。</w:t>
      </w:r>
    </w:p>
    <w:p w14:paraId="33307B4C">
      <w:pPr>
        <w:pStyle w:val="5"/>
        <w:spacing w:line="360" w:lineRule="auto"/>
        <w:ind w:firstLine="482"/>
        <w:rPr>
          <w:rFonts w:ascii="仿宋_GB2312" w:hAnsi="宋体" w:eastAsia="仿宋_GB2312"/>
          <w:b/>
          <w:color w:val="auto"/>
          <w:sz w:val="24"/>
        </w:rPr>
      </w:pPr>
      <w:r>
        <w:rPr>
          <w:rFonts w:ascii="仿宋_GB2312" w:hAnsi="宋体" w:eastAsia="仿宋_GB2312"/>
          <w:b/>
          <w:color w:val="auto"/>
          <w:sz w:val="24"/>
        </w:rPr>
        <w:t>3</w:t>
      </w:r>
      <w:r>
        <w:rPr>
          <w:rFonts w:hint="eastAsia" w:ascii="仿宋_GB2312" w:hAnsi="宋体" w:eastAsia="仿宋_GB2312"/>
          <w:b/>
          <w:color w:val="auto"/>
          <w:sz w:val="24"/>
        </w:rPr>
        <w:t>.5数据统计分析功能</w:t>
      </w:r>
    </w:p>
    <w:p w14:paraId="4B6BDEA4">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通过门禁系统管理平台，能够将人员出入情况记录统计出来，并且能通过平台进行查询。</w:t>
      </w:r>
    </w:p>
    <w:p w14:paraId="69AC3D1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针对突发事件的时候信息查询，管理人员只需要在客户端界面打开的刷卡信息查询出，输入人员信息（比如姓名、卡号等等），即可将该人员的所有信息都归总出来，并可导出成Excel格式，便于做出判断。管理部门人员可根据需要随时查询和打印某一日期段的刷卡信息、可根据日、月、自定义时间段的统计打印刷卡统计表、可查询和打印任何日期段的所有通道门禁刷卡信息。</w:t>
      </w:r>
    </w:p>
    <w:p w14:paraId="790F7B7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针对医院每天人流量非常大的特点，在平台管理中，设立的多种形式的数据统计、查询和分析。保卫科通过数据分析，就能准确的判断出人员进出的高峰期、低峰期，以便医院针对不同时间段制定不同的应急措施，从而来保证医生、病人的人生安全。</w:t>
      </w:r>
    </w:p>
    <w:p w14:paraId="4C18D943">
      <w:pPr>
        <w:pStyle w:val="5"/>
        <w:spacing w:line="360" w:lineRule="auto"/>
        <w:ind w:firstLine="562"/>
        <w:rPr>
          <w:rFonts w:hAnsi="宋体"/>
          <w:b/>
          <w:color w:val="auto"/>
          <w:sz w:val="28"/>
          <w:szCs w:val="28"/>
        </w:rPr>
      </w:pPr>
      <w:r>
        <w:rPr>
          <w:rFonts w:hint="eastAsia" w:hAnsi="宋体"/>
          <w:b/>
          <w:color w:val="auto"/>
          <w:sz w:val="28"/>
          <w:szCs w:val="28"/>
        </w:rPr>
        <w:t>七、系统供配电管理设计说明</w:t>
      </w:r>
    </w:p>
    <w:p w14:paraId="21CB7B83">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1、系统供配电管理</w:t>
      </w:r>
    </w:p>
    <w:p w14:paraId="4159D60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 xml:space="preserve">系统采用集中供电方式，系统设备电源由控制箱集中点电源取电，总进线采用220V电压、50Hz频率的配电方式，电源的质量符合国家标准，即电压波动小于±10%，频率波动标准小于±1%。门禁系统电源供电应、稳定并且减少对其他设备的干扰，应采用足够冗余的电源。 </w:t>
      </w:r>
      <w:r>
        <w:rPr>
          <w:rFonts w:hint="eastAsia" w:ascii="仿宋_GB2312" w:hAnsi="宋体" w:eastAsia="仿宋_GB2312"/>
          <w:b/>
          <w:color w:val="auto"/>
          <w:sz w:val="24"/>
        </w:rPr>
        <w:t>门锁需单独电源供电不能与门禁控制器共用同一个电源供电。</w:t>
      </w:r>
    </w:p>
    <w:p w14:paraId="5746F77F">
      <w:pPr>
        <w:pStyle w:val="5"/>
        <w:spacing w:line="360" w:lineRule="auto"/>
        <w:ind w:firstLine="562"/>
        <w:rPr>
          <w:rFonts w:ascii="仿宋_GB2312" w:hAnsi="宋体" w:eastAsia="仿宋_GB2312"/>
          <w:b/>
          <w:color w:val="auto"/>
          <w:sz w:val="24"/>
        </w:rPr>
      </w:pPr>
      <w:r>
        <w:rPr>
          <w:rFonts w:hint="eastAsia" w:hAnsi="宋体"/>
          <w:b/>
          <w:color w:val="auto"/>
          <w:sz w:val="28"/>
          <w:szCs w:val="28"/>
        </w:rPr>
        <w:t>八、响应文件应包含的内容</w:t>
      </w:r>
    </w:p>
    <w:p w14:paraId="3FEDF042">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1、响应文件中各项设备指标应达到或超过采购文件中所列技术指标。</w:t>
      </w:r>
    </w:p>
    <w:p w14:paraId="6D3344BE">
      <w:pPr>
        <w:pStyle w:val="5"/>
        <w:spacing w:line="360" w:lineRule="auto"/>
        <w:ind w:firstLine="0" w:firstLineChars="0"/>
        <w:rPr>
          <w:rFonts w:ascii="仿宋_GB2312" w:hAnsi="宋体" w:eastAsia="仿宋_GB2312"/>
          <w:color w:val="auto"/>
          <w:sz w:val="24"/>
        </w:rPr>
      </w:pPr>
      <w:r>
        <w:rPr>
          <w:rFonts w:hint="eastAsia" w:ascii="仿宋_GB2312" w:hAnsi="宋体" w:eastAsia="仿宋_GB2312"/>
          <w:color w:val="auto"/>
          <w:sz w:val="24"/>
        </w:rPr>
        <w:t>供应商在响应建议中明确可提供的技术指标。</w:t>
      </w:r>
    </w:p>
    <w:p w14:paraId="65D2D65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2、供应商的响应文件必须提供完整的运维服务计划。</w:t>
      </w:r>
    </w:p>
    <w:p w14:paraId="5044940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3、本项目实施过程中，采购人不提供固定场所，成交供应商需自行解决工</w:t>
      </w:r>
    </w:p>
    <w:p w14:paraId="7E483F70">
      <w:pPr>
        <w:pStyle w:val="5"/>
        <w:spacing w:line="360" w:lineRule="auto"/>
        <w:ind w:firstLine="0" w:firstLineChars="0"/>
        <w:rPr>
          <w:rFonts w:ascii="仿宋_GB2312" w:hAnsi="宋体" w:eastAsia="仿宋_GB2312"/>
          <w:color w:val="auto"/>
          <w:sz w:val="24"/>
        </w:rPr>
      </w:pPr>
      <w:r>
        <w:rPr>
          <w:rFonts w:hint="eastAsia" w:ascii="仿宋_GB2312" w:hAnsi="宋体" w:eastAsia="仿宋_GB2312"/>
          <w:color w:val="auto"/>
          <w:sz w:val="24"/>
        </w:rPr>
        <w:t>具和材料的堆放场地。</w:t>
      </w:r>
    </w:p>
    <w:p w14:paraId="1455117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4、供应商需承诺投标总价为含税价，且已包括整个售后服务期内涉及的所有技术资料、服务（包括运输）、第三方检测、等所有税费、人工及其它不可预见的费用，均由供应商承担。</w:t>
      </w:r>
    </w:p>
    <w:p w14:paraId="498E4872">
      <w:pPr>
        <w:pStyle w:val="5"/>
        <w:spacing w:line="360" w:lineRule="auto"/>
        <w:ind w:firstLine="480"/>
        <w:rPr>
          <w:rFonts w:ascii="仿宋_GB2312" w:hAnsi="宋体" w:eastAsia="仿宋_GB2312"/>
          <w:color w:val="auto"/>
          <w:sz w:val="24"/>
        </w:rPr>
      </w:pPr>
    </w:p>
    <w:p w14:paraId="15C786E2">
      <w:pPr>
        <w:pStyle w:val="4"/>
        <w:spacing w:line="360" w:lineRule="auto"/>
        <w:jc w:val="center"/>
        <w:rPr>
          <w:rFonts w:ascii="仿宋_GB2312" w:hAnsi="宋体" w:eastAsia="仿宋_GB2312"/>
          <w:color w:val="auto"/>
          <w:sz w:val="24"/>
        </w:rPr>
      </w:pPr>
      <w:r>
        <w:rPr>
          <w:rFonts w:hint="eastAsia" w:ascii="仿宋_GB2312" w:hAnsi="宋体" w:eastAsia="仿宋_GB2312" w:cs="宋体"/>
          <w:b/>
          <w:color w:val="auto"/>
          <w:sz w:val="30"/>
          <w:szCs w:val="30"/>
        </w:rPr>
        <w:t>第二章交付使用要求</w:t>
      </w:r>
    </w:p>
    <w:p w14:paraId="554CEF7B">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（一）设备的安装调试要求：</w:t>
      </w:r>
    </w:p>
    <w:p w14:paraId="0DD28AD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 中标人负责合同上项目设备的安装调试，一切费用由中标人负责。</w:t>
      </w:r>
    </w:p>
    <w:p w14:paraId="5ACB803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 中标人安装时必须对各安装场地内的其它设备、设施采取良好保护措施，如造成损坏，承担相应相关责任。</w:t>
      </w:r>
    </w:p>
    <w:p w14:paraId="6142A999">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(3) 如果合同设备运输和安装调试过程中因事故造成货物短缺、损坏，中标人应及时安排换货，以保证合同设备安装调试的成功完成。换货的相关费用由中标人承担。</w:t>
      </w:r>
    </w:p>
    <w:p w14:paraId="6360F17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（二）交付使用期：</w:t>
      </w:r>
    </w:p>
    <w:p w14:paraId="0BEE753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★合同签订后</w:t>
      </w:r>
      <w:r>
        <w:rPr>
          <w:rFonts w:hint="eastAsia" w:ascii="仿宋_GB2312" w:hAnsi="宋体" w:eastAsia="仿宋_GB2312"/>
          <w:color w:val="auto"/>
          <w:sz w:val="24"/>
          <w:lang w:val="en-US" w:eastAsia="zh-CN"/>
        </w:rPr>
        <w:t>30</w:t>
      </w:r>
      <w:r>
        <w:rPr>
          <w:rFonts w:hint="eastAsia" w:ascii="仿宋_GB2312" w:hAnsi="宋体" w:eastAsia="仿宋_GB2312"/>
          <w:color w:val="auto"/>
          <w:sz w:val="24"/>
        </w:rPr>
        <w:t>天内完成主要部分货物包装、送货；安装、调试、检测、验收等。若设备与投标文件有偏差时，不予验收，由此所发生的一切费用由中标方承担。验收招标文件中未尽事宜的按照国家有关电子仪器设备验收的相关规范执行。</w:t>
      </w:r>
    </w:p>
    <w:p w14:paraId="7534E3FC">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（三）交货地点：广州市黄埔区（南岗街道）丹水坑路123号 广州市第十二人民医院内。</w:t>
      </w:r>
    </w:p>
    <w:p w14:paraId="0FAD327A">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（四）交货要求：</w:t>
      </w:r>
    </w:p>
    <w:p w14:paraId="7E40324E">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1.交货时要提交的资料：原厂产品合格证、产品说明书、国家强制性产品认证（3C认证）证书或标签、完整的技术资料。</w:t>
      </w:r>
    </w:p>
    <w:p w14:paraId="454C7AC0">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2.所有设备需为性能可靠的全新设备，并按有关要求进行包装及装运。</w:t>
      </w:r>
    </w:p>
    <w:p w14:paraId="50BD37F5">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包装、运输及到货检验</w:t>
      </w:r>
    </w:p>
    <w:p w14:paraId="25D55B3F">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（一）设备必须由原厂包装，包装箱内应有下列随箱资料：产品合格证、产品使用说明书、随箱清单等。</w:t>
      </w:r>
    </w:p>
    <w:p w14:paraId="600AB9F1">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（二）中标供应商负责所有设备从出厂到安装现场的运输。</w:t>
      </w:r>
    </w:p>
    <w:p w14:paraId="6791161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（三）双方将依据有关规定，对到货的规格、数量等进行检验。中标供应商应对其全部产品、零件、配件、介质造册登记，并与装箱单对比，如有出入应立即书面记录，由中标供应商解决。</w:t>
      </w:r>
    </w:p>
    <w:p w14:paraId="53C68428">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五、验收要求</w:t>
      </w:r>
    </w:p>
    <w:p w14:paraId="7AA93926">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（一）要求对全部设备、产品、型号、规格、数量、外型、外观、包装及资料、文件（如装箱单、保修单、随箱介质等）的验收。</w:t>
      </w:r>
    </w:p>
    <w:p w14:paraId="42A3229D">
      <w:pPr>
        <w:pStyle w:val="5"/>
        <w:spacing w:line="360" w:lineRule="auto"/>
        <w:ind w:firstLine="480"/>
        <w:rPr>
          <w:rFonts w:ascii="仿宋_GB2312" w:hAnsi="宋体" w:eastAsia="仿宋_GB2312"/>
          <w:color w:val="auto"/>
          <w:sz w:val="24"/>
        </w:rPr>
      </w:pPr>
      <w:r>
        <w:rPr>
          <w:rFonts w:hint="eastAsia" w:ascii="仿宋_GB2312" w:hAnsi="宋体" w:eastAsia="仿宋_GB2312"/>
          <w:color w:val="auto"/>
          <w:sz w:val="24"/>
        </w:rPr>
        <w:t>（二）中标供应商应负责在项目验收时将全部有关产品说明书、原厂家安装手册、技术文件、资料、及安装、验收报告等文档汇集成册交付设备使用单位。</w:t>
      </w:r>
    </w:p>
    <w:p w14:paraId="092124E0">
      <w:pPr>
        <w:pStyle w:val="5"/>
        <w:spacing w:line="360" w:lineRule="auto"/>
        <w:ind w:firstLine="480"/>
        <w:rPr>
          <w:rFonts w:ascii="仿宋_GB2312" w:hAnsi="宋体" w:eastAsia="仿宋_GB2312"/>
          <w:color w:val="auto"/>
          <w:sz w:val="24"/>
        </w:rPr>
      </w:pPr>
    </w:p>
    <w:p w14:paraId="191FBD3A">
      <w:pPr>
        <w:pStyle w:val="4"/>
        <w:spacing w:line="360" w:lineRule="auto"/>
        <w:jc w:val="center"/>
        <w:rPr>
          <w:rFonts w:ascii="仿宋_GB2312" w:hAnsi="宋体" w:eastAsia="仿宋_GB2312"/>
          <w:b/>
          <w:color w:val="auto"/>
          <w:sz w:val="30"/>
          <w:szCs w:val="30"/>
        </w:rPr>
      </w:pPr>
      <w:r>
        <w:rPr>
          <w:rFonts w:hint="eastAsia" w:ascii="仿宋_GB2312" w:hAnsi="宋体" w:eastAsia="仿宋_GB2312" w:cs="宋体"/>
          <w:b/>
          <w:color w:val="auto"/>
          <w:sz w:val="30"/>
          <w:szCs w:val="30"/>
        </w:rPr>
        <w:t>第三章售后服务及培训需求</w:t>
      </w:r>
    </w:p>
    <w:p w14:paraId="3491E0CA">
      <w:pPr>
        <w:ind w:firstLine="472" w:firstLineChars="196"/>
        <w:rPr>
          <w:rFonts w:ascii="仿宋_GB2312" w:eastAsia="仿宋_GB2312"/>
          <w:b/>
          <w:color w:val="auto"/>
          <w:sz w:val="24"/>
          <w:szCs w:val="24"/>
        </w:rPr>
      </w:pPr>
      <w:r>
        <w:rPr>
          <w:rFonts w:hint="eastAsia" w:ascii="仿宋_GB2312" w:eastAsia="仿宋_GB2312"/>
          <w:b/>
          <w:color w:val="auto"/>
          <w:sz w:val="24"/>
          <w:szCs w:val="24"/>
        </w:rPr>
        <w:t>一、售后服务</w:t>
      </w:r>
    </w:p>
    <w:p w14:paraId="2CD75215">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（一）中标人应在广州市设有维修机构，处理所有维修服务，并配有专职的技术工程师。</w:t>
      </w:r>
    </w:p>
    <w:p w14:paraId="41831E22">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（二）★免费质保期：验收合格后</w:t>
      </w:r>
      <w:r>
        <w:rPr>
          <w:rFonts w:ascii="仿宋_GB2312" w:hAnsi="宋体" w:eastAsia="仿宋_GB2312" w:cs="Times New Roman"/>
          <w:color w:val="auto"/>
          <w:sz w:val="24"/>
          <w:szCs w:val="24"/>
        </w:rPr>
        <w:t>1</w:t>
      </w:r>
      <w:r>
        <w:rPr>
          <w:rFonts w:hint="eastAsia" w:ascii="仿宋_GB2312" w:hAnsi="宋体" w:eastAsia="仿宋_GB2312" w:cs="Times New Roman"/>
          <w:color w:val="auto"/>
          <w:sz w:val="24"/>
          <w:szCs w:val="24"/>
        </w:rPr>
        <w:t>年免费质保，质保期内中标供应商需负责免费维修及更换配件。</w:t>
      </w:r>
    </w:p>
    <w:p w14:paraId="7D81047B">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对提供的设备在质保期内实施每年四次的上门保养和软件维护、升级，不向使用方收取任何费用。免费质保期从验收合格之日起计算。质保期满后的服务要求：免费质保期满后，提供终身维护服务。</w:t>
      </w:r>
    </w:p>
    <w:p w14:paraId="6C5384EB">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三）设备故障报修的响应时间：要求中标人提供7×24小时的故障服务受理；对重大故障提供7×24小时的现场支援，重大故障的现场响应时间：一小时内赶到现场，二小时内恢复正常使用；对一般故障提供5×8小时（法定工作时间）的现场支援，一般故障的现场响应时间：（4小时内）到达现场并排除故障。如未在约定时间完成故障排除，导致严重后果的承担相应法律责任。</w:t>
      </w:r>
    </w:p>
    <w:p w14:paraId="4A9B83BD">
      <w:pPr>
        <w:spacing w:line="360" w:lineRule="auto"/>
        <w:ind w:firstLine="470" w:firstLineChars="196"/>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（四）质保期内，所有设备维修服务均为上门服务，由此产生的费用均不再收取。</w:t>
      </w:r>
    </w:p>
    <w:p w14:paraId="077DB9C9">
      <w:pPr>
        <w:spacing w:line="360" w:lineRule="auto"/>
        <w:rPr>
          <w:rFonts w:ascii="仿宋_GB2312" w:hAnsi="宋体" w:eastAsia="仿宋_GB2312" w:cs="Times New Roman"/>
          <w:color w:val="auto"/>
          <w:sz w:val="24"/>
          <w:szCs w:val="24"/>
        </w:rPr>
      </w:pPr>
      <w:bookmarkStart w:id="12" w:name="_GoBack"/>
      <w:bookmarkEnd w:id="12"/>
    </w:p>
    <w:p w14:paraId="287DEB4E">
      <w:pPr>
        <w:pStyle w:val="6"/>
        <w:ind w:firstLine="472" w:firstLineChars="196"/>
        <w:rPr>
          <w:rFonts w:ascii="仿宋_GB2312" w:eastAsia="仿宋_GB2312"/>
          <w:b/>
          <w:color w:val="auto"/>
          <w:sz w:val="24"/>
          <w:szCs w:val="24"/>
        </w:rPr>
      </w:pPr>
      <w:r>
        <w:rPr>
          <w:rFonts w:hint="eastAsia" w:ascii="仿宋_GB2312" w:eastAsia="仿宋_GB2312"/>
          <w:b/>
          <w:color w:val="auto"/>
          <w:sz w:val="24"/>
          <w:szCs w:val="24"/>
        </w:rPr>
        <w:t>二、培训需求及事项</w:t>
      </w:r>
    </w:p>
    <w:p w14:paraId="62623003">
      <w:pPr>
        <w:pStyle w:val="6"/>
        <w:ind w:firstLine="472" w:firstLineChars="196"/>
        <w:rPr>
          <w:rFonts w:ascii="仿宋_GB2312" w:eastAsia="仿宋_GB2312"/>
          <w:b/>
          <w:color w:val="auto"/>
          <w:sz w:val="24"/>
        </w:rPr>
      </w:pPr>
      <w:r>
        <w:rPr>
          <w:rFonts w:hint="eastAsia" w:ascii="仿宋_GB2312" w:eastAsia="仿宋_GB2312"/>
          <w:b/>
          <w:color w:val="auto"/>
          <w:sz w:val="24"/>
        </w:rPr>
        <w:t>培训要求</w:t>
      </w:r>
    </w:p>
    <w:p w14:paraId="4153AEC6">
      <w:pPr>
        <w:pStyle w:val="6"/>
        <w:ind w:firstLine="480"/>
        <w:rPr>
          <w:rFonts w:ascii="仿宋_GB2312" w:eastAsia="仿宋_GB2312"/>
          <w:color w:val="auto"/>
          <w:sz w:val="24"/>
        </w:rPr>
      </w:pPr>
      <w:r>
        <w:rPr>
          <w:rFonts w:hint="eastAsia" w:ascii="仿宋_GB2312" w:eastAsia="仿宋_GB2312"/>
          <w:color w:val="auto"/>
          <w:sz w:val="24"/>
        </w:rPr>
        <w:t>1、对采购人的技术人员进行系统的使用、维护和保养培训，所有培训以中文进行。该培训将教会学员在日常和紧急情况下如何操作系统。</w:t>
      </w:r>
    </w:p>
    <w:p w14:paraId="5EDE9528">
      <w:pPr>
        <w:pStyle w:val="6"/>
        <w:ind w:firstLine="480"/>
        <w:rPr>
          <w:rFonts w:ascii="仿宋_GB2312" w:eastAsia="仿宋_GB2312"/>
          <w:color w:val="auto"/>
          <w:sz w:val="24"/>
        </w:rPr>
      </w:pPr>
      <w:r>
        <w:rPr>
          <w:rFonts w:hint="eastAsia" w:ascii="仿宋_GB2312" w:eastAsia="仿宋_GB2312"/>
          <w:color w:val="auto"/>
          <w:sz w:val="24"/>
        </w:rPr>
        <w:t>2、在系统完工测试之前为采购人技术人员进行现场培训，该培训包括正常操作程序和怎样处理紧急情况。在培训工作开始前向采购人免费提供所有中文培训资料，包括中文操作、维修手册，要求受训人员能够了解系统及设备的基本结构、工作原理及操作程序，能进行实际操作和日常维护、排除一般故障。</w:t>
      </w:r>
    </w:p>
    <w:p w14:paraId="6AD4967B">
      <w:pPr>
        <w:pStyle w:val="6"/>
        <w:ind w:firstLine="472" w:firstLineChars="196"/>
        <w:rPr>
          <w:rFonts w:ascii="仿宋_GB2312" w:eastAsia="仿宋_GB2312"/>
          <w:b/>
          <w:color w:val="auto"/>
          <w:sz w:val="24"/>
        </w:rPr>
      </w:pPr>
      <w:r>
        <w:rPr>
          <w:rFonts w:hint="eastAsia" w:ascii="仿宋_GB2312" w:eastAsia="仿宋_GB2312"/>
          <w:b/>
          <w:color w:val="auto"/>
          <w:sz w:val="24"/>
        </w:rPr>
        <w:t>培训事项</w:t>
      </w:r>
    </w:p>
    <w:p w14:paraId="667F1516">
      <w:pPr>
        <w:pStyle w:val="6"/>
        <w:ind w:firstLine="480"/>
        <w:rPr>
          <w:rFonts w:ascii="仿宋_GB2312" w:eastAsia="仿宋_GB2312"/>
          <w:color w:val="auto"/>
          <w:sz w:val="24"/>
        </w:rPr>
      </w:pPr>
      <w:r>
        <w:rPr>
          <w:rFonts w:hint="eastAsia" w:ascii="仿宋_GB2312" w:eastAsia="仿宋_GB2312"/>
          <w:color w:val="auto"/>
          <w:sz w:val="24"/>
        </w:rPr>
        <w:t>1、培训目的</w:t>
      </w:r>
    </w:p>
    <w:p w14:paraId="318C0EB6">
      <w:pPr>
        <w:pStyle w:val="6"/>
        <w:ind w:firstLine="552" w:firstLineChars="230"/>
        <w:rPr>
          <w:rFonts w:ascii="仿宋_GB2312" w:eastAsia="仿宋_GB2312"/>
          <w:color w:val="auto"/>
          <w:sz w:val="24"/>
        </w:rPr>
      </w:pPr>
      <w:r>
        <w:rPr>
          <w:rFonts w:hint="eastAsia" w:ascii="仿宋_GB2312" w:eastAsia="仿宋_GB2312"/>
          <w:color w:val="auto"/>
          <w:sz w:val="24"/>
        </w:rPr>
        <w:t>对采购人的人员分为运行维护人员的培训、工程技术人员的培训和管理人员的培训。</w:t>
      </w:r>
    </w:p>
    <w:p w14:paraId="21F7CB76">
      <w:pPr>
        <w:pStyle w:val="6"/>
        <w:ind w:firstLine="480"/>
        <w:rPr>
          <w:rFonts w:ascii="仿宋_GB2312" w:eastAsia="仿宋_GB2312"/>
          <w:color w:val="auto"/>
          <w:sz w:val="24"/>
        </w:rPr>
      </w:pPr>
      <w:r>
        <w:rPr>
          <w:rFonts w:hint="eastAsia" w:ascii="仿宋_GB2312" w:eastAsia="仿宋_GB2312"/>
          <w:color w:val="auto"/>
          <w:sz w:val="24"/>
        </w:rPr>
        <w:t>2、培训课程</w:t>
      </w:r>
    </w:p>
    <w:p w14:paraId="0A81FF86">
      <w:pPr>
        <w:pStyle w:val="6"/>
        <w:ind w:firstLine="480"/>
        <w:rPr>
          <w:rFonts w:ascii="仿宋_GB2312" w:eastAsia="仿宋_GB2312"/>
          <w:color w:val="auto"/>
          <w:sz w:val="24"/>
        </w:rPr>
      </w:pPr>
      <w:r>
        <w:rPr>
          <w:rFonts w:hint="eastAsia" w:ascii="仿宋_GB2312" w:eastAsia="仿宋_GB2312"/>
          <w:color w:val="auto"/>
          <w:sz w:val="24"/>
        </w:rPr>
        <w:t>a.系统的基本工作原理</w:t>
      </w:r>
    </w:p>
    <w:p w14:paraId="06DAE0E3">
      <w:pPr>
        <w:pStyle w:val="6"/>
        <w:ind w:firstLine="480"/>
        <w:rPr>
          <w:rFonts w:ascii="仿宋_GB2312" w:eastAsia="仿宋_GB2312"/>
          <w:color w:val="auto"/>
          <w:sz w:val="24"/>
        </w:rPr>
      </w:pPr>
      <w:r>
        <w:rPr>
          <w:rFonts w:hint="eastAsia" w:ascii="仿宋_GB2312" w:eastAsia="仿宋_GB2312"/>
          <w:color w:val="auto"/>
          <w:sz w:val="24"/>
        </w:rPr>
        <w:t>b.系统的设备安装情况</w:t>
      </w:r>
    </w:p>
    <w:p w14:paraId="635A73BF">
      <w:pPr>
        <w:pStyle w:val="6"/>
        <w:ind w:firstLine="480"/>
        <w:rPr>
          <w:rFonts w:ascii="仿宋_GB2312" w:eastAsia="仿宋_GB2312"/>
          <w:color w:val="auto"/>
          <w:sz w:val="24"/>
        </w:rPr>
      </w:pPr>
      <w:r>
        <w:rPr>
          <w:rFonts w:hint="eastAsia" w:ascii="仿宋_GB2312" w:eastAsia="仿宋_GB2312"/>
          <w:color w:val="auto"/>
          <w:sz w:val="24"/>
        </w:rPr>
        <w:t>c.系统的操作和管理</w:t>
      </w:r>
    </w:p>
    <w:p w14:paraId="150F1DFA">
      <w:pPr>
        <w:pStyle w:val="6"/>
        <w:ind w:firstLine="480"/>
        <w:rPr>
          <w:rFonts w:ascii="仿宋_GB2312" w:eastAsia="仿宋_GB2312"/>
          <w:color w:val="auto"/>
          <w:sz w:val="24"/>
        </w:rPr>
      </w:pPr>
      <w:r>
        <w:rPr>
          <w:rFonts w:hint="eastAsia" w:ascii="仿宋_GB2312" w:eastAsia="仿宋_GB2312"/>
          <w:color w:val="auto"/>
          <w:sz w:val="24"/>
        </w:rPr>
        <w:t>d.设备实物</w:t>
      </w:r>
    </w:p>
    <w:p w14:paraId="50EC6B9D">
      <w:pPr>
        <w:pStyle w:val="6"/>
        <w:ind w:firstLine="480"/>
        <w:rPr>
          <w:rFonts w:ascii="仿宋_GB2312" w:eastAsia="仿宋_GB2312"/>
          <w:color w:val="auto"/>
          <w:sz w:val="24"/>
        </w:rPr>
      </w:pPr>
      <w:r>
        <w:rPr>
          <w:rFonts w:hint="eastAsia" w:ascii="仿宋_GB2312" w:eastAsia="仿宋_GB2312"/>
          <w:color w:val="auto"/>
          <w:sz w:val="24"/>
        </w:rPr>
        <w:t>e.系统图纸的查阅</w:t>
      </w:r>
    </w:p>
    <w:p w14:paraId="6134E452">
      <w:pPr>
        <w:pStyle w:val="6"/>
        <w:ind w:firstLine="480"/>
        <w:rPr>
          <w:rFonts w:ascii="仿宋_GB2312" w:eastAsia="仿宋_GB2312"/>
          <w:color w:val="auto"/>
          <w:sz w:val="24"/>
        </w:rPr>
      </w:pPr>
      <w:r>
        <w:rPr>
          <w:rFonts w:hint="eastAsia" w:ascii="仿宋_GB2312" w:eastAsia="仿宋_GB2312"/>
          <w:color w:val="auto"/>
          <w:sz w:val="24"/>
        </w:rPr>
        <w:t>f.系统的故障诊断</w:t>
      </w:r>
    </w:p>
    <w:p w14:paraId="6E36D077">
      <w:pPr>
        <w:pStyle w:val="6"/>
        <w:ind w:firstLine="480"/>
        <w:rPr>
          <w:rFonts w:ascii="仿宋_GB2312" w:eastAsia="仿宋_GB2312"/>
          <w:color w:val="auto"/>
          <w:sz w:val="24"/>
        </w:rPr>
      </w:pPr>
      <w:r>
        <w:rPr>
          <w:rFonts w:hint="eastAsia" w:ascii="仿宋_GB2312" w:eastAsia="仿宋_GB2312"/>
          <w:color w:val="auto"/>
          <w:sz w:val="24"/>
        </w:rPr>
        <w:t>3、当系统升级或者改造时，应进行免费系统升级及改造专门培训，具体时间由双方协调培训时间，不低于两天时间。</w:t>
      </w:r>
    </w:p>
    <w:p w14:paraId="266D667E">
      <w:pPr>
        <w:pStyle w:val="6"/>
        <w:ind w:firstLine="480"/>
        <w:rPr>
          <w:rFonts w:ascii="仿宋_GB2312" w:eastAsia="仿宋_GB2312"/>
          <w:color w:val="auto"/>
          <w:sz w:val="24"/>
          <w:szCs w:val="24"/>
        </w:rPr>
      </w:pPr>
      <w:r>
        <w:rPr>
          <w:rFonts w:hint="eastAsia" w:ascii="仿宋_GB2312" w:eastAsia="仿宋_GB2312"/>
          <w:color w:val="auto"/>
          <w:sz w:val="24"/>
          <w:szCs w:val="24"/>
        </w:rPr>
        <w:t>4、要求组织每年年度培训，包括对运行维护人员的培训、工程技术人员的培训和管理人员的培训，时间不低于两天时间。</w:t>
      </w:r>
    </w:p>
    <w:p w14:paraId="78A409C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57F9B"/>
    <w:rsid w:val="42E52436"/>
    <w:rsid w:val="44457F9B"/>
    <w:rsid w:val="492D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列出段落_0"/>
    <w:basedOn w:val="4"/>
    <w:qFormat/>
    <w:uiPriority w:val="0"/>
    <w:pPr>
      <w:ind w:firstLine="420" w:firstLineChars="200"/>
    </w:pPr>
  </w:style>
  <w:style w:type="paragraph" w:customStyle="1" w:styleId="6">
    <w:name w:val="--规划正文"/>
    <w:basedOn w:val="4"/>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6945</Words>
  <Characters>7486</Characters>
  <Lines>0</Lines>
  <Paragraphs>0</Paragraphs>
  <TotalTime>1</TotalTime>
  <ScaleCrop>false</ScaleCrop>
  <LinksUpToDate>false</LinksUpToDate>
  <CharactersWithSpaces>7553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2025-10-17T06:14:00Z</dcterms:created>
  <dc:creator>月入两万卡路里</dc:creator>
  <cp:lastModifiedBy>月入两万卡路里</cp:lastModifiedBy>
  <dcterms:modified xsi:type="dcterms:W3CDTF">2025-10-17T06:41:05Z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923D49D35FED4E039EB579628C94373D_11</vt:lpwstr>
  </property>
  <property fmtid="{D5CDD505-2E9C-101B-9397-08002B2CF9AE}" pid="4" name="KSOTemplateDocerSaveRecord">
    <vt:lpwstr>eyJoZGlkIjoiYzc3NThhZWVhNzVhNzQ1YjBmZTRlODJmN2MyMjNjMTIiLCJ1c2VySWQiOiIxMDQzNDczNTE2In0=</vt:lpwstr>
  </property>
</Properties>
</file>